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outlineLvl w:val="1"/>
        <w:rPr>
          <w:rFonts w:ascii="宋体" w:hAnsi="宋体" w:cs="宋体"/>
          <w:b/>
          <w:bCs/>
          <w:snapToGrid w:val="0"/>
          <w:sz w:val="36"/>
          <w:szCs w:val="36"/>
        </w:rPr>
      </w:pPr>
      <w:bookmarkStart w:id="0" w:name="_GoBack"/>
      <w:bookmarkEnd w:id="0"/>
      <w:r>
        <w:rPr>
          <w:rFonts w:hint="eastAsia" w:ascii="宋体" w:hAnsi="宋体" w:cs="宋体"/>
          <w:b/>
          <w:bCs/>
          <w:snapToGrid w:val="0"/>
          <w:sz w:val="36"/>
          <w:szCs w:val="36"/>
        </w:rPr>
        <w:t>河南省土地估价师协会</w:t>
      </w:r>
    </w:p>
    <w:p>
      <w:pPr>
        <w:spacing w:line="560" w:lineRule="exact"/>
        <w:jc w:val="center"/>
        <w:outlineLvl w:val="1"/>
        <w:rPr>
          <w:rFonts w:ascii="宋体" w:hAnsi="宋体" w:cs="宋体"/>
          <w:b/>
          <w:bCs/>
          <w:snapToGrid w:val="0"/>
          <w:sz w:val="36"/>
          <w:szCs w:val="36"/>
        </w:rPr>
      </w:pPr>
      <w:r>
        <w:rPr>
          <w:rFonts w:hint="eastAsia" w:ascii="宋体" w:hAnsi="宋体" w:cs="宋体"/>
          <w:b/>
          <w:bCs/>
          <w:snapToGrid w:val="0"/>
          <w:sz w:val="36"/>
          <w:szCs w:val="36"/>
        </w:rPr>
        <w:t>土地估价机构资信评定实施细则(暂行）</w:t>
      </w:r>
    </w:p>
    <w:p>
      <w:pPr>
        <w:spacing w:before="312" w:beforeLines="100" w:after="312" w:afterLines="100" w:line="560" w:lineRule="exact"/>
        <w:jc w:val="center"/>
        <w:rPr>
          <w:rFonts w:ascii="宋体" w:hAnsi="宋体" w:cs="宋体"/>
          <w:b/>
          <w:bCs/>
          <w:sz w:val="28"/>
          <w:szCs w:val="28"/>
        </w:rPr>
      </w:pPr>
      <w:r>
        <w:rPr>
          <w:rFonts w:hint="eastAsia" w:ascii="宋体" w:hAnsi="宋体"/>
          <w:bCs/>
          <w:sz w:val="28"/>
          <w:szCs w:val="28"/>
        </w:rPr>
        <w:t>（2022年3月15日修订）</w:t>
      </w:r>
    </w:p>
    <w:p>
      <w:pPr>
        <w:spacing w:before="312" w:beforeLines="100" w:after="312" w:afterLines="100" w:line="560" w:lineRule="exact"/>
        <w:jc w:val="center"/>
        <w:rPr>
          <w:rFonts w:ascii="宋体" w:hAnsi="宋体" w:cs="宋体"/>
          <w:b/>
          <w:bCs/>
          <w:sz w:val="28"/>
          <w:szCs w:val="28"/>
        </w:rPr>
      </w:pPr>
      <w:r>
        <w:rPr>
          <w:rFonts w:hint="eastAsia" w:ascii="宋体" w:hAnsi="宋体" w:cs="宋体"/>
          <w:b/>
          <w:bCs/>
          <w:sz w:val="28"/>
          <w:szCs w:val="28"/>
        </w:rPr>
        <w:t>第一章     总则</w:t>
      </w:r>
    </w:p>
    <w:p>
      <w:pPr>
        <w:spacing w:line="560" w:lineRule="exact"/>
        <w:ind w:firstLine="562" w:firstLineChars="200"/>
        <w:rPr>
          <w:rFonts w:ascii="宋体" w:hAnsi="宋体" w:cs="宋体"/>
          <w:bCs/>
          <w:sz w:val="28"/>
          <w:szCs w:val="28"/>
        </w:rPr>
      </w:pPr>
      <w:r>
        <w:rPr>
          <w:rFonts w:hint="eastAsia" w:ascii="宋体" w:hAnsi="宋体" w:cs="宋体"/>
          <w:b/>
          <w:bCs/>
          <w:sz w:val="28"/>
          <w:szCs w:val="28"/>
        </w:rPr>
        <w:t xml:space="preserve">第一条 </w:t>
      </w:r>
      <w:r>
        <w:rPr>
          <w:rFonts w:hint="eastAsia" w:ascii="宋体" w:hAnsi="宋体" w:cs="宋体"/>
          <w:bCs/>
          <w:sz w:val="28"/>
          <w:szCs w:val="28"/>
        </w:rPr>
        <w:t>为建立科学、公开、公平的土地估价机构资信评定体系，促进我省土地估价行业健康发展，根据《河南省土地估价师协会土地估价机构资信评定暂行办法》，制定本细则。</w:t>
      </w:r>
    </w:p>
    <w:p>
      <w:pPr>
        <w:spacing w:line="560" w:lineRule="exact"/>
        <w:ind w:firstLine="562" w:firstLineChars="200"/>
        <w:rPr>
          <w:rFonts w:ascii="宋体" w:hAnsi="宋体" w:cs="宋体"/>
          <w:bCs/>
          <w:sz w:val="28"/>
          <w:szCs w:val="28"/>
        </w:rPr>
      </w:pPr>
      <w:r>
        <w:rPr>
          <w:rFonts w:hint="eastAsia" w:ascii="宋体" w:hAnsi="宋体" w:cs="宋体"/>
          <w:b/>
          <w:sz w:val="28"/>
          <w:szCs w:val="28"/>
        </w:rPr>
        <w:t>第二条</w:t>
      </w:r>
      <w:r>
        <w:rPr>
          <w:rFonts w:hint="eastAsia" w:ascii="宋体" w:hAnsi="宋体" w:cs="宋体"/>
          <w:bCs/>
          <w:sz w:val="28"/>
          <w:szCs w:val="28"/>
        </w:rPr>
        <w:t xml:space="preserve"> 本细则适用于河南省土地估价师协会（以下简称省协会）会员机构的资信评定工作。</w:t>
      </w:r>
    </w:p>
    <w:p>
      <w:pPr>
        <w:spacing w:line="560" w:lineRule="exact"/>
        <w:rPr>
          <w:rFonts w:ascii="宋体" w:hAnsi="宋体" w:cs="宋体"/>
          <w:b/>
          <w:sz w:val="28"/>
          <w:szCs w:val="28"/>
        </w:rPr>
      </w:pPr>
      <w:r>
        <w:rPr>
          <w:rFonts w:hint="eastAsia" w:ascii="宋体" w:hAnsi="宋体" w:cs="宋体"/>
          <w:b/>
          <w:sz w:val="28"/>
          <w:szCs w:val="28"/>
        </w:rPr>
        <w:t xml:space="preserve">    第三条 </w:t>
      </w:r>
      <w:r>
        <w:rPr>
          <w:rFonts w:hint="eastAsia" w:ascii="宋体" w:hAnsi="宋体" w:cs="宋体"/>
          <w:bCs/>
          <w:sz w:val="28"/>
          <w:szCs w:val="28"/>
        </w:rPr>
        <w:t>土地估价机构资信评定原则上每年开展一次，估价机构资信等级有效期为1年。</w:t>
      </w:r>
      <w:r>
        <w:rPr>
          <w:rFonts w:hint="eastAsia" w:ascii="宋体" w:hAnsi="宋体" w:cs="宋体"/>
          <w:b/>
          <w:sz w:val="28"/>
          <w:szCs w:val="28"/>
        </w:rPr>
        <w:t xml:space="preserve"> </w:t>
      </w:r>
    </w:p>
    <w:p>
      <w:pPr>
        <w:spacing w:line="560" w:lineRule="exact"/>
        <w:ind w:firstLine="560"/>
        <w:rPr>
          <w:rFonts w:ascii="宋体" w:hAnsi="宋体" w:cs="宋体"/>
          <w:sz w:val="28"/>
          <w:szCs w:val="28"/>
        </w:rPr>
      </w:pPr>
      <w:r>
        <w:rPr>
          <w:rFonts w:hint="eastAsia" w:ascii="宋体" w:hAnsi="宋体" w:cs="宋体"/>
          <w:b/>
          <w:sz w:val="28"/>
          <w:szCs w:val="28"/>
        </w:rPr>
        <w:t xml:space="preserve">第四条 </w:t>
      </w:r>
      <w:r>
        <w:rPr>
          <w:rFonts w:hint="eastAsia" w:ascii="宋体" w:hAnsi="宋体" w:cs="宋体"/>
          <w:sz w:val="28"/>
          <w:szCs w:val="28"/>
        </w:rPr>
        <w:t>报名参加河南省土地估价机构资信评定的机构应当具备下列基本条件：</w:t>
      </w:r>
    </w:p>
    <w:p>
      <w:pPr>
        <w:spacing w:line="560" w:lineRule="exact"/>
        <w:ind w:firstLine="560"/>
        <w:rPr>
          <w:rFonts w:ascii="宋体" w:hAnsi="宋体" w:cs="宋体"/>
          <w:b/>
          <w:sz w:val="28"/>
          <w:szCs w:val="28"/>
        </w:rPr>
      </w:pPr>
      <w:r>
        <w:rPr>
          <w:rFonts w:hint="eastAsia" w:ascii="宋体" w:hAnsi="宋体" w:cs="宋体"/>
          <w:bCs/>
          <w:sz w:val="28"/>
          <w:szCs w:val="28"/>
        </w:rPr>
        <w:t>1.必须取得省协会会员资格；</w:t>
      </w:r>
    </w:p>
    <w:p>
      <w:pPr>
        <w:spacing w:line="560" w:lineRule="exact"/>
        <w:rPr>
          <w:rFonts w:ascii="宋体" w:hAnsi="宋体" w:cs="宋体"/>
          <w:sz w:val="28"/>
          <w:szCs w:val="28"/>
        </w:rPr>
      </w:pPr>
      <w:r>
        <w:rPr>
          <w:rFonts w:hint="eastAsia" w:ascii="宋体" w:hAnsi="宋体" w:cs="宋体"/>
          <w:b/>
          <w:sz w:val="28"/>
          <w:szCs w:val="28"/>
        </w:rPr>
        <w:t xml:space="preserve">    </w:t>
      </w:r>
      <w:r>
        <w:rPr>
          <w:rFonts w:hint="eastAsia" w:ascii="宋体" w:hAnsi="宋体" w:cs="宋体"/>
          <w:sz w:val="28"/>
          <w:szCs w:val="28"/>
        </w:rPr>
        <w:t>2.估价机构及其控股股东或法定代表人、执行合伙人、主要负责人近两年未受到行政处罚；</w:t>
      </w:r>
    </w:p>
    <w:p>
      <w:pPr>
        <w:spacing w:line="560" w:lineRule="exact"/>
        <w:rPr>
          <w:rFonts w:ascii="宋体" w:hAnsi="宋体" w:cs="宋体"/>
          <w:sz w:val="28"/>
          <w:szCs w:val="28"/>
        </w:rPr>
      </w:pPr>
      <w:r>
        <w:rPr>
          <w:rFonts w:hint="eastAsia" w:ascii="宋体" w:hAnsi="宋体" w:cs="宋体"/>
          <w:b/>
          <w:sz w:val="28"/>
          <w:szCs w:val="28"/>
        </w:rPr>
        <w:t xml:space="preserve">    </w:t>
      </w:r>
      <w:r>
        <w:rPr>
          <w:rFonts w:hint="eastAsia" w:ascii="宋体" w:hAnsi="宋体" w:cs="宋体"/>
          <w:sz w:val="28"/>
          <w:szCs w:val="28"/>
        </w:rPr>
        <w:t>3.估价机构及其控股股东或法定代表人、执行合伙人、主要负责人近两年无重大违法违规和重大失信记录；</w:t>
      </w:r>
    </w:p>
    <w:p>
      <w:pPr>
        <w:spacing w:line="560" w:lineRule="exact"/>
        <w:ind w:firstLine="561"/>
        <w:rPr>
          <w:rFonts w:ascii="宋体" w:hAnsi="宋体" w:cs="宋体"/>
          <w:sz w:val="28"/>
          <w:szCs w:val="28"/>
        </w:rPr>
      </w:pPr>
      <w:r>
        <w:rPr>
          <w:rFonts w:hint="eastAsia" w:ascii="宋体" w:hAnsi="宋体" w:cs="宋体"/>
          <w:sz w:val="28"/>
          <w:szCs w:val="28"/>
        </w:rPr>
        <w:t>4.估价机构及其控股股东或法定代表人、执行合伙人、主要负责人从上年度1月1日起至提交评审材料止，未被省协会通报批评。</w:t>
      </w:r>
    </w:p>
    <w:p>
      <w:pPr>
        <w:ind w:firstLine="562" w:firstLineChars="200"/>
        <w:rPr>
          <w:rFonts w:ascii="宋体" w:hAnsi="宋体" w:cs="宋体"/>
          <w:sz w:val="28"/>
          <w:szCs w:val="28"/>
        </w:rPr>
      </w:pPr>
      <w:r>
        <w:rPr>
          <w:rFonts w:hint="eastAsia" w:ascii="宋体" w:hAnsi="宋体" w:cs="宋体"/>
          <w:b/>
          <w:sz w:val="28"/>
          <w:szCs w:val="28"/>
        </w:rPr>
        <w:t xml:space="preserve">第五条 </w:t>
      </w:r>
      <w:r>
        <w:rPr>
          <w:rFonts w:hint="eastAsia" w:ascii="宋体" w:hAnsi="宋体" w:cs="宋体"/>
          <w:sz w:val="28"/>
          <w:szCs w:val="28"/>
        </w:rPr>
        <w:t>根据资信评定分数，评定为相应资信等级：</w:t>
      </w:r>
    </w:p>
    <w:p>
      <w:pPr>
        <w:ind w:firstLine="560" w:firstLineChars="200"/>
        <w:rPr>
          <w:rFonts w:ascii="宋体" w:hAnsi="宋体" w:cs="宋体"/>
          <w:sz w:val="28"/>
          <w:szCs w:val="28"/>
        </w:rPr>
      </w:pPr>
      <w:r>
        <w:rPr>
          <w:rFonts w:hint="eastAsia" w:ascii="宋体" w:hAnsi="宋体" w:cs="宋体"/>
          <w:sz w:val="28"/>
          <w:szCs w:val="28"/>
        </w:rPr>
        <w:t>1.分数达到90分（含）以上的，评定等级为AAA级；</w:t>
      </w:r>
    </w:p>
    <w:p>
      <w:pPr>
        <w:ind w:firstLine="560" w:firstLineChars="200"/>
        <w:rPr>
          <w:rFonts w:ascii="宋体" w:hAnsi="宋体" w:cs="宋体"/>
          <w:sz w:val="28"/>
          <w:szCs w:val="28"/>
        </w:rPr>
      </w:pPr>
      <w:r>
        <w:rPr>
          <w:rFonts w:hint="eastAsia" w:ascii="宋体" w:hAnsi="宋体" w:cs="宋体"/>
          <w:sz w:val="28"/>
          <w:szCs w:val="28"/>
        </w:rPr>
        <w:t>2.分数达到75分（含）以上的，评定等级为AA级；</w:t>
      </w:r>
    </w:p>
    <w:p>
      <w:pPr>
        <w:ind w:firstLine="560" w:firstLineChars="200"/>
        <w:rPr>
          <w:rFonts w:ascii="宋体" w:hAnsi="宋体" w:cs="宋体"/>
          <w:sz w:val="28"/>
          <w:szCs w:val="28"/>
        </w:rPr>
      </w:pPr>
      <w:r>
        <w:rPr>
          <w:rFonts w:hint="eastAsia" w:ascii="宋体" w:hAnsi="宋体" w:cs="宋体"/>
          <w:sz w:val="28"/>
          <w:szCs w:val="28"/>
        </w:rPr>
        <w:t>3.分数达到60分（含）以上的，评定等级为A级；</w:t>
      </w:r>
    </w:p>
    <w:p>
      <w:pPr>
        <w:ind w:firstLine="560" w:firstLineChars="200"/>
        <w:rPr>
          <w:rFonts w:ascii="宋体" w:hAnsi="宋体" w:cs="宋体"/>
          <w:sz w:val="28"/>
          <w:szCs w:val="28"/>
        </w:rPr>
      </w:pPr>
      <w:r>
        <w:rPr>
          <w:rFonts w:hint="eastAsia" w:ascii="宋体" w:hAnsi="宋体" w:cs="宋体"/>
          <w:sz w:val="28"/>
          <w:szCs w:val="28"/>
        </w:rPr>
        <w:t>4.其他为准A级。</w:t>
      </w:r>
    </w:p>
    <w:p>
      <w:pPr>
        <w:ind w:firstLine="562" w:firstLineChars="200"/>
        <w:rPr>
          <w:rFonts w:ascii="宋体" w:hAnsi="宋体" w:cs="宋体"/>
          <w:sz w:val="28"/>
          <w:szCs w:val="28"/>
        </w:rPr>
      </w:pPr>
      <w:r>
        <w:rPr>
          <w:rFonts w:hint="eastAsia" w:ascii="宋体" w:hAnsi="宋体" w:cs="宋体"/>
          <w:b/>
          <w:bCs/>
          <w:sz w:val="28"/>
          <w:szCs w:val="28"/>
        </w:rPr>
        <w:t>第六条</w:t>
      </w:r>
      <w:r>
        <w:rPr>
          <w:rFonts w:hint="eastAsia" w:ascii="宋体" w:hAnsi="宋体" w:cs="宋体"/>
          <w:sz w:val="28"/>
          <w:szCs w:val="28"/>
        </w:rPr>
        <w:t xml:space="preserve"> </w:t>
      </w:r>
      <w:r>
        <w:rPr>
          <w:rFonts w:hint="eastAsia" w:ascii="宋体" w:hAnsi="宋体" w:cs="宋体"/>
          <w:bCs/>
          <w:sz w:val="28"/>
          <w:szCs w:val="28"/>
        </w:rPr>
        <w:t>河南省土地估价师协会</w:t>
      </w:r>
      <w:r>
        <w:rPr>
          <w:rFonts w:hint="eastAsia" w:ascii="宋体" w:hAnsi="宋体" w:cs="宋体"/>
          <w:sz w:val="28"/>
          <w:szCs w:val="28"/>
        </w:rPr>
        <w:t>将资信评定结果与日常动态监管、评优评先、政策扶持等挂钩，并根据土地估价机构不同资信等级，实行差异化管理和服务。</w:t>
      </w:r>
    </w:p>
    <w:p>
      <w:pPr>
        <w:ind w:firstLine="560" w:firstLineChars="200"/>
        <w:rPr>
          <w:rFonts w:ascii="宋体" w:hAnsi="宋体" w:cs="宋体"/>
          <w:sz w:val="28"/>
          <w:szCs w:val="28"/>
        </w:rPr>
      </w:pPr>
      <w:r>
        <w:rPr>
          <w:rFonts w:hint="eastAsia" w:ascii="宋体" w:hAnsi="宋体" w:cs="宋体"/>
          <w:sz w:val="28"/>
          <w:szCs w:val="28"/>
        </w:rPr>
        <w:t>AAA级机构，可直接参加行业内的诚信机构、优秀机构等各项优秀先进的评选；优先推荐给相关业务部门；</w:t>
      </w:r>
    </w:p>
    <w:p>
      <w:pPr>
        <w:ind w:firstLine="560" w:firstLineChars="200"/>
        <w:rPr>
          <w:rFonts w:ascii="宋体" w:hAnsi="宋体" w:cs="宋体"/>
          <w:sz w:val="28"/>
          <w:szCs w:val="28"/>
        </w:rPr>
      </w:pPr>
      <w:r>
        <w:rPr>
          <w:rFonts w:hint="eastAsia" w:ascii="宋体" w:hAnsi="宋体" w:cs="宋体"/>
          <w:sz w:val="28"/>
          <w:szCs w:val="28"/>
        </w:rPr>
        <w:t>AA级机构，推荐参加行业内优秀、先进评选；推荐给相关业务部门；</w:t>
      </w:r>
    </w:p>
    <w:p>
      <w:pPr>
        <w:ind w:firstLine="560" w:firstLineChars="200"/>
        <w:rPr>
          <w:rFonts w:ascii="宋体" w:hAnsi="宋体" w:cs="宋体"/>
          <w:sz w:val="28"/>
          <w:szCs w:val="28"/>
        </w:rPr>
      </w:pPr>
      <w:r>
        <w:rPr>
          <w:rFonts w:hint="eastAsia" w:ascii="宋体" w:hAnsi="宋体" w:cs="宋体"/>
          <w:sz w:val="28"/>
          <w:szCs w:val="28"/>
        </w:rPr>
        <w:t>A级机构，可申报行业内各项优秀、先进的评选；可推荐给相关业务部门；</w:t>
      </w:r>
    </w:p>
    <w:p>
      <w:pPr>
        <w:ind w:firstLine="560" w:firstLineChars="200"/>
        <w:rPr>
          <w:rFonts w:ascii="宋体" w:hAnsi="宋体" w:cs="宋体"/>
          <w:sz w:val="28"/>
          <w:szCs w:val="28"/>
        </w:rPr>
      </w:pPr>
      <w:r>
        <w:rPr>
          <w:rFonts w:hint="eastAsia" w:ascii="宋体" w:hAnsi="宋体" w:cs="宋体"/>
          <w:sz w:val="28"/>
          <w:szCs w:val="28"/>
        </w:rPr>
        <w:t>准A级机构，可推荐给相关业务部门。</w:t>
      </w:r>
    </w:p>
    <w:p>
      <w:pPr>
        <w:spacing w:line="560" w:lineRule="exact"/>
        <w:ind w:firstLine="562" w:firstLineChars="200"/>
        <w:rPr>
          <w:rFonts w:ascii="宋体" w:hAnsi="宋体" w:cs="宋体"/>
          <w:bCs/>
          <w:sz w:val="28"/>
          <w:szCs w:val="28"/>
        </w:rPr>
      </w:pPr>
      <w:r>
        <w:rPr>
          <w:rFonts w:hint="eastAsia" w:ascii="宋体" w:hAnsi="宋体" w:cs="宋体"/>
          <w:b/>
          <w:sz w:val="28"/>
          <w:szCs w:val="28"/>
        </w:rPr>
        <w:t xml:space="preserve">第七条 </w:t>
      </w:r>
      <w:r>
        <w:rPr>
          <w:rFonts w:hint="eastAsia" w:ascii="宋体" w:hAnsi="宋体" w:cs="宋体"/>
          <w:sz w:val="28"/>
          <w:szCs w:val="28"/>
        </w:rPr>
        <w:t>下例情形之一的机构，</w:t>
      </w:r>
      <w:r>
        <w:rPr>
          <w:rFonts w:hint="eastAsia" w:ascii="宋体" w:hAnsi="宋体" w:cs="宋体"/>
          <w:bCs/>
          <w:sz w:val="28"/>
          <w:szCs w:val="28"/>
        </w:rPr>
        <w:t>无资信等级：</w:t>
      </w:r>
    </w:p>
    <w:p>
      <w:pPr>
        <w:spacing w:line="560" w:lineRule="exact"/>
        <w:ind w:firstLine="560"/>
        <w:rPr>
          <w:rFonts w:ascii="宋体" w:hAnsi="宋体" w:cs="宋体"/>
          <w:bCs/>
          <w:sz w:val="28"/>
          <w:szCs w:val="28"/>
        </w:rPr>
      </w:pPr>
      <w:r>
        <w:rPr>
          <w:rFonts w:hint="eastAsia" w:ascii="宋体" w:hAnsi="宋体" w:cs="宋体"/>
          <w:bCs/>
          <w:sz w:val="28"/>
          <w:szCs w:val="28"/>
        </w:rPr>
        <w:t>1.未参加当年省协会报告审查的；</w:t>
      </w:r>
    </w:p>
    <w:p>
      <w:pPr>
        <w:spacing w:line="560" w:lineRule="exact"/>
        <w:ind w:firstLine="560"/>
        <w:rPr>
          <w:rFonts w:ascii="宋体" w:hAnsi="宋体" w:cs="宋体"/>
          <w:bCs/>
          <w:sz w:val="28"/>
          <w:szCs w:val="28"/>
        </w:rPr>
      </w:pPr>
      <w:r>
        <w:rPr>
          <w:rFonts w:hint="eastAsia" w:ascii="宋体" w:hAnsi="宋体" w:cs="宋体"/>
          <w:bCs/>
          <w:sz w:val="28"/>
          <w:szCs w:val="28"/>
        </w:rPr>
        <w:t>2.被撤销资信等级的；</w:t>
      </w:r>
    </w:p>
    <w:p>
      <w:pPr>
        <w:spacing w:line="560" w:lineRule="exact"/>
        <w:ind w:firstLine="560"/>
        <w:rPr>
          <w:rFonts w:ascii="宋体" w:hAnsi="宋体" w:cs="宋体"/>
          <w:bCs/>
          <w:sz w:val="28"/>
          <w:szCs w:val="28"/>
        </w:rPr>
      </w:pPr>
      <w:r>
        <w:rPr>
          <w:rFonts w:hint="eastAsia" w:ascii="宋体" w:hAnsi="宋体" w:cs="宋体"/>
          <w:bCs/>
          <w:sz w:val="28"/>
          <w:szCs w:val="28"/>
        </w:rPr>
        <w:t>3.未缴纳当年会费的；</w:t>
      </w:r>
    </w:p>
    <w:p>
      <w:pPr>
        <w:spacing w:line="560" w:lineRule="exact"/>
        <w:ind w:firstLine="560"/>
        <w:rPr>
          <w:rFonts w:ascii="宋体" w:hAnsi="宋体" w:cs="宋体"/>
          <w:bCs/>
          <w:sz w:val="28"/>
          <w:szCs w:val="28"/>
        </w:rPr>
      </w:pPr>
      <w:r>
        <w:rPr>
          <w:rFonts w:hint="eastAsia" w:ascii="宋体" w:hAnsi="宋体" w:cs="宋体"/>
          <w:bCs/>
          <w:sz w:val="28"/>
          <w:szCs w:val="28"/>
        </w:rPr>
        <w:t>4.其他情形。</w:t>
      </w:r>
    </w:p>
    <w:p>
      <w:pPr>
        <w:spacing w:line="560" w:lineRule="exact"/>
        <w:rPr>
          <w:rFonts w:ascii="宋体" w:hAnsi="宋体" w:cs="宋体"/>
          <w:bCs/>
          <w:sz w:val="28"/>
          <w:szCs w:val="28"/>
        </w:rPr>
      </w:pPr>
      <w:r>
        <w:rPr>
          <w:rFonts w:hint="eastAsia" w:ascii="宋体" w:hAnsi="宋体" w:cs="宋体"/>
          <w:b/>
          <w:bCs/>
          <w:sz w:val="28"/>
          <w:szCs w:val="28"/>
        </w:rPr>
        <w:t xml:space="preserve">   </w:t>
      </w:r>
      <w:r>
        <w:rPr>
          <w:rFonts w:hint="eastAsia" w:ascii="宋体" w:hAnsi="宋体" w:cs="宋体"/>
          <w:bCs/>
          <w:sz w:val="28"/>
          <w:szCs w:val="28"/>
        </w:rPr>
        <w:t xml:space="preserve"> </w:t>
      </w:r>
    </w:p>
    <w:p>
      <w:pPr>
        <w:spacing w:line="560" w:lineRule="exact"/>
        <w:jc w:val="center"/>
        <w:rPr>
          <w:rFonts w:ascii="宋体" w:hAnsi="宋体" w:cs="宋体"/>
          <w:b/>
          <w:bCs/>
          <w:sz w:val="28"/>
          <w:szCs w:val="28"/>
        </w:rPr>
      </w:pPr>
    </w:p>
    <w:p>
      <w:pPr>
        <w:spacing w:line="560" w:lineRule="exact"/>
        <w:jc w:val="center"/>
        <w:rPr>
          <w:rFonts w:ascii="宋体" w:hAnsi="宋体" w:cs="宋体"/>
          <w:b/>
          <w:bCs/>
          <w:sz w:val="28"/>
          <w:szCs w:val="28"/>
        </w:rPr>
      </w:pPr>
    </w:p>
    <w:p>
      <w:pPr>
        <w:spacing w:line="560" w:lineRule="exact"/>
        <w:ind w:firstLine="2711" w:firstLineChars="900"/>
        <w:rPr>
          <w:rFonts w:ascii="宋体" w:hAnsi="宋体" w:cs="宋体"/>
          <w:b/>
          <w:bCs/>
          <w:sz w:val="30"/>
          <w:szCs w:val="30"/>
        </w:rPr>
      </w:pPr>
      <w:r>
        <w:rPr>
          <w:rFonts w:hint="eastAsia" w:ascii="宋体" w:hAnsi="宋体" w:cs="宋体"/>
          <w:b/>
          <w:bCs/>
          <w:sz w:val="30"/>
          <w:szCs w:val="30"/>
        </w:rPr>
        <w:t>第二章     资信评定内容</w:t>
      </w:r>
    </w:p>
    <w:p>
      <w:pPr>
        <w:spacing w:line="560" w:lineRule="exact"/>
        <w:jc w:val="center"/>
        <w:rPr>
          <w:rFonts w:ascii="宋体" w:hAnsi="宋体" w:cs="宋体"/>
          <w:b/>
          <w:bCs/>
          <w:sz w:val="24"/>
        </w:rPr>
      </w:pPr>
    </w:p>
    <w:p>
      <w:pPr>
        <w:spacing w:line="560" w:lineRule="exact"/>
        <w:ind w:firstLine="562" w:firstLineChars="200"/>
        <w:rPr>
          <w:rFonts w:ascii="宋体" w:hAnsi="宋体" w:cs="宋体"/>
          <w:sz w:val="28"/>
          <w:szCs w:val="28"/>
        </w:rPr>
      </w:pPr>
      <w:r>
        <w:rPr>
          <w:rFonts w:hint="eastAsia" w:ascii="宋体" w:hAnsi="宋体" w:cs="宋体"/>
          <w:b/>
          <w:sz w:val="28"/>
          <w:szCs w:val="28"/>
        </w:rPr>
        <w:t>第八条</w:t>
      </w:r>
      <w:r>
        <w:rPr>
          <w:rFonts w:hint="eastAsia" w:ascii="宋体" w:hAnsi="宋体" w:cs="宋体"/>
          <w:sz w:val="28"/>
          <w:szCs w:val="28"/>
        </w:rPr>
        <w:t xml:space="preserve"> </w:t>
      </w:r>
      <w:r>
        <w:rPr>
          <w:rFonts w:hint="eastAsia" w:ascii="宋体" w:hAnsi="宋体" w:cs="宋体"/>
          <w:bCs/>
          <w:sz w:val="28"/>
          <w:szCs w:val="28"/>
        </w:rPr>
        <w:t>土地估价机构资信评定</w:t>
      </w:r>
      <w:r>
        <w:rPr>
          <w:rFonts w:hint="eastAsia" w:ascii="宋体" w:hAnsi="宋体" w:cs="宋体"/>
          <w:sz w:val="28"/>
          <w:szCs w:val="28"/>
        </w:rPr>
        <w:t>包括：基本情况、估价业务、企业经营、行业贡献、报告质量及加扣分项等六部分内容。</w:t>
      </w:r>
    </w:p>
    <w:p>
      <w:pPr>
        <w:spacing w:line="560" w:lineRule="exact"/>
        <w:ind w:firstLine="562" w:firstLineChars="200"/>
        <w:rPr>
          <w:rFonts w:ascii="宋体" w:hAnsi="宋体" w:cs="宋体"/>
          <w:sz w:val="28"/>
          <w:szCs w:val="28"/>
        </w:rPr>
      </w:pPr>
      <w:r>
        <w:rPr>
          <w:rFonts w:hint="eastAsia" w:ascii="宋体" w:hAnsi="宋体" w:cs="宋体"/>
          <w:b/>
          <w:sz w:val="28"/>
          <w:szCs w:val="28"/>
        </w:rPr>
        <w:t xml:space="preserve">第九条 </w:t>
      </w:r>
      <w:r>
        <w:rPr>
          <w:rFonts w:hint="eastAsia" w:ascii="宋体" w:hAnsi="宋体" w:cs="宋体"/>
          <w:sz w:val="28"/>
          <w:szCs w:val="28"/>
        </w:rPr>
        <w:t>基本情况</w:t>
      </w:r>
    </w:p>
    <w:p>
      <w:pPr>
        <w:spacing w:line="560" w:lineRule="exact"/>
        <w:ind w:firstLine="560" w:firstLineChars="200"/>
        <w:rPr>
          <w:rFonts w:ascii="宋体" w:hAnsi="宋体" w:cs="宋体"/>
          <w:sz w:val="28"/>
          <w:szCs w:val="28"/>
        </w:rPr>
      </w:pPr>
      <w:r>
        <w:rPr>
          <w:rFonts w:hint="eastAsia" w:ascii="宋体" w:hAnsi="宋体" w:cs="宋体"/>
          <w:sz w:val="28"/>
          <w:szCs w:val="28"/>
        </w:rPr>
        <w:t>1.土地估价机构连续入会时间；</w:t>
      </w:r>
    </w:p>
    <w:p>
      <w:pPr>
        <w:spacing w:line="560" w:lineRule="exact"/>
        <w:ind w:firstLine="560" w:firstLineChars="200"/>
        <w:rPr>
          <w:rFonts w:ascii="宋体" w:hAnsi="宋体" w:cs="宋体"/>
          <w:sz w:val="28"/>
          <w:szCs w:val="28"/>
        </w:rPr>
      </w:pPr>
      <w:r>
        <w:rPr>
          <w:rFonts w:hint="eastAsia" w:ascii="宋体" w:hAnsi="宋体" w:cs="宋体"/>
          <w:sz w:val="28"/>
          <w:szCs w:val="28"/>
        </w:rPr>
        <w:t>2.执业土地估价师人数；</w:t>
      </w:r>
    </w:p>
    <w:p>
      <w:pPr>
        <w:spacing w:line="560" w:lineRule="exact"/>
        <w:ind w:firstLine="560" w:firstLineChars="200"/>
        <w:rPr>
          <w:rFonts w:ascii="宋体" w:hAnsi="宋体" w:cs="宋体"/>
          <w:sz w:val="28"/>
          <w:szCs w:val="28"/>
        </w:rPr>
      </w:pPr>
      <w:r>
        <w:rPr>
          <w:rFonts w:hint="eastAsia" w:ascii="宋体" w:hAnsi="宋体" w:cs="宋体"/>
          <w:sz w:val="28"/>
          <w:szCs w:val="28"/>
        </w:rPr>
        <w:t>3.法人是否是土地估价师；</w:t>
      </w:r>
    </w:p>
    <w:p>
      <w:pPr>
        <w:spacing w:line="560" w:lineRule="exact"/>
        <w:ind w:firstLine="560" w:firstLineChars="200"/>
        <w:rPr>
          <w:rFonts w:ascii="宋体" w:hAnsi="宋体" w:cs="宋体"/>
          <w:sz w:val="28"/>
          <w:szCs w:val="28"/>
        </w:rPr>
      </w:pPr>
      <w:r>
        <w:rPr>
          <w:rFonts w:hint="eastAsia" w:ascii="宋体" w:hAnsi="宋体" w:cs="宋体"/>
          <w:sz w:val="28"/>
          <w:szCs w:val="28"/>
        </w:rPr>
        <w:t>4.上年度资信评定；</w:t>
      </w:r>
    </w:p>
    <w:p>
      <w:pPr>
        <w:spacing w:line="560" w:lineRule="exact"/>
        <w:ind w:firstLine="560" w:firstLineChars="200"/>
        <w:rPr>
          <w:rFonts w:ascii="宋体" w:hAnsi="宋体" w:cs="宋体"/>
          <w:sz w:val="28"/>
          <w:szCs w:val="28"/>
        </w:rPr>
      </w:pPr>
      <w:r>
        <w:rPr>
          <w:rFonts w:hint="eastAsia" w:ascii="宋体" w:hAnsi="宋体" w:cs="宋体"/>
          <w:sz w:val="28"/>
          <w:szCs w:val="28"/>
        </w:rPr>
        <w:t>5.注册资金；</w:t>
      </w:r>
    </w:p>
    <w:p>
      <w:pPr>
        <w:spacing w:line="560" w:lineRule="exact"/>
        <w:ind w:firstLine="560" w:firstLineChars="200"/>
        <w:rPr>
          <w:rFonts w:ascii="宋体" w:hAnsi="宋体" w:cs="宋体"/>
          <w:sz w:val="28"/>
          <w:szCs w:val="28"/>
        </w:rPr>
      </w:pPr>
      <w:r>
        <w:rPr>
          <w:rFonts w:hint="eastAsia" w:ascii="宋体" w:hAnsi="宋体" w:cs="宋体"/>
          <w:sz w:val="28"/>
          <w:szCs w:val="28"/>
        </w:rPr>
        <w:t>6.经营场地；</w:t>
      </w:r>
    </w:p>
    <w:p>
      <w:pPr>
        <w:spacing w:line="560" w:lineRule="exact"/>
        <w:ind w:firstLine="560" w:firstLineChars="200"/>
        <w:rPr>
          <w:rFonts w:ascii="宋体" w:hAnsi="宋体" w:cs="宋体"/>
          <w:sz w:val="28"/>
          <w:szCs w:val="28"/>
        </w:rPr>
      </w:pPr>
      <w:r>
        <w:rPr>
          <w:rFonts w:hint="eastAsia" w:ascii="宋体" w:hAnsi="宋体" w:cs="宋体"/>
          <w:sz w:val="28"/>
          <w:szCs w:val="28"/>
        </w:rPr>
        <w:t>7.技术负责人；</w:t>
      </w:r>
    </w:p>
    <w:p>
      <w:pPr>
        <w:spacing w:line="560" w:lineRule="exact"/>
        <w:ind w:firstLine="560" w:firstLineChars="200"/>
        <w:rPr>
          <w:rFonts w:ascii="宋体" w:hAnsi="宋体" w:cs="宋体"/>
          <w:sz w:val="28"/>
          <w:szCs w:val="28"/>
        </w:rPr>
      </w:pPr>
      <w:r>
        <w:rPr>
          <w:rFonts w:hint="eastAsia" w:ascii="宋体" w:hAnsi="宋体" w:cs="宋体"/>
          <w:sz w:val="28"/>
          <w:szCs w:val="28"/>
        </w:rPr>
        <w:t>8.报告三级审核制度；</w:t>
      </w:r>
    </w:p>
    <w:p>
      <w:pPr>
        <w:spacing w:line="560" w:lineRule="exact"/>
        <w:ind w:firstLine="560" w:firstLineChars="200"/>
        <w:rPr>
          <w:rFonts w:ascii="宋体" w:hAnsi="宋体" w:cs="宋体"/>
          <w:sz w:val="28"/>
          <w:szCs w:val="28"/>
        </w:rPr>
      </w:pPr>
      <w:r>
        <w:rPr>
          <w:rFonts w:hint="eastAsia" w:ascii="宋体" w:hAnsi="宋体" w:cs="宋体"/>
          <w:sz w:val="28"/>
          <w:szCs w:val="28"/>
        </w:rPr>
        <w:t>9.内部管理制度。</w:t>
      </w:r>
    </w:p>
    <w:p>
      <w:pPr>
        <w:spacing w:line="560" w:lineRule="exact"/>
        <w:ind w:firstLine="562" w:firstLineChars="200"/>
        <w:rPr>
          <w:rFonts w:ascii="宋体" w:hAnsi="宋体" w:cs="宋体"/>
          <w:sz w:val="28"/>
          <w:szCs w:val="28"/>
        </w:rPr>
      </w:pPr>
      <w:r>
        <w:rPr>
          <w:rFonts w:hint="eastAsia" w:ascii="宋体" w:hAnsi="宋体" w:cs="宋体"/>
          <w:b/>
          <w:sz w:val="28"/>
          <w:szCs w:val="28"/>
        </w:rPr>
        <w:t>第十条</w:t>
      </w:r>
      <w:r>
        <w:rPr>
          <w:rFonts w:hint="eastAsia" w:ascii="宋体" w:hAnsi="宋体" w:cs="宋体"/>
          <w:sz w:val="28"/>
          <w:szCs w:val="28"/>
        </w:rPr>
        <w:t xml:space="preserve"> 估价业务</w:t>
      </w:r>
    </w:p>
    <w:p>
      <w:pPr>
        <w:spacing w:line="560" w:lineRule="exact"/>
        <w:ind w:firstLine="560" w:firstLineChars="200"/>
        <w:rPr>
          <w:rFonts w:ascii="宋体" w:hAnsi="宋体" w:cs="宋体"/>
          <w:sz w:val="28"/>
          <w:szCs w:val="28"/>
        </w:rPr>
      </w:pPr>
      <w:r>
        <w:rPr>
          <w:rFonts w:hint="eastAsia" w:ascii="宋体" w:hAnsi="宋体" w:cs="宋体"/>
          <w:sz w:val="28"/>
          <w:szCs w:val="28"/>
        </w:rPr>
        <w:t>1.备案土地估价报告总数；</w:t>
      </w:r>
    </w:p>
    <w:p>
      <w:pPr>
        <w:spacing w:line="560" w:lineRule="exact"/>
        <w:ind w:firstLine="560" w:firstLineChars="200"/>
        <w:rPr>
          <w:rFonts w:ascii="宋体" w:hAnsi="宋体" w:cs="宋体"/>
          <w:sz w:val="28"/>
          <w:szCs w:val="28"/>
        </w:rPr>
      </w:pPr>
      <w:r>
        <w:rPr>
          <w:rFonts w:hint="eastAsia" w:ascii="宋体" w:hAnsi="宋体" w:cs="宋体"/>
          <w:sz w:val="28"/>
          <w:szCs w:val="28"/>
        </w:rPr>
        <w:t>2.评估总面积；</w:t>
      </w:r>
    </w:p>
    <w:p>
      <w:pPr>
        <w:spacing w:line="560" w:lineRule="exact"/>
        <w:ind w:firstLine="560" w:firstLineChars="200"/>
        <w:rPr>
          <w:rFonts w:ascii="宋体" w:hAnsi="宋体" w:cs="宋体"/>
          <w:sz w:val="28"/>
          <w:szCs w:val="28"/>
        </w:rPr>
      </w:pPr>
      <w:r>
        <w:rPr>
          <w:rFonts w:hint="eastAsia" w:ascii="宋体" w:hAnsi="宋体" w:cs="宋体"/>
          <w:sz w:val="28"/>
          <w:szCs w:val="28"/>
        </w:rPr>
        <w:t>3.评估总金额。</w:t>
      </w:r>
    </w:p>
    <w:p>
      <w:pPr>
        <w:spacing w:line="560" w:lineRule="exact"/>
        <w:ind w:firstLine="562" w:firstLineChars="200"/>
        <w:rPr>
          <w:rFonts w:ascii="宋体" w:hAnsi="宋体" w:cs="宋体"/>
          <w:sz w:val="28"/>
          <w:szCs w:val="28"/>
        </w:rPr>
      </w:pPr>
      <w:r>
        <w:rPr>
          <w:rFonts w:hint="eastAsia" w:ascii="宋体" w:hAnsi="宋体" w:cs="宋体"/>
          <w:b/>
          <w:sz w:val="28"/>
          <w:szCs w:val="28"/>
        </w:rPr>
        <w:t>第十一条</w:t>
      </w:r>
      <w:r>
        <w:rPr>
          <w:rFonts w:hint="eastAsia" w:ascii="宋体" w:hAnsi="宋体" w:cs="宋体"/>
          <w:sz w:val="28"/>
          <w:szCs w:val="28"/>
        </w:rPr>
        <w:t xml:space="preserve"> 企业经营</w:t>
      </w:r>
    </w:p>
    <w:p>
      <w:pPr>
        <w:spacing w:line="560" w:lineRule="exact"/>
        <w:ind w:firstLine="560" w:firstLineChars="200"/>
        <w:rPr>
          <w:rFonts w:ascii="宋体" w:hAnsi="宋体" w:cs="宋体"/>
          <w:sz w:val="28"/>
          <w:szCs w:val="28"/>
        </w:rPr>
      </w:pPr>
      <w:r>
        <w:rPr>
          <w:rFonts w:hint="eastAsia" w:ascii="宋体" w:hAnsi="宋体" w:cs="宋体"/>
          <w:sz w:val="28"/>
          <w:szCs w:val="28"/>
        </w:rPr>
        <w:t>1.机构现场公示；</w:t>
      </w:r>
    </w:p>
    <w:p>
      <w:pPr>
        <w:spacing w:line="560" w:lineRule="exact"/>
        <w:ind w:firstLine="560" w:firstLineChars="200"/>
        <w:rPr>
          <w:rFonts w:ascii="宋体" w:hAnsi="宋体" w:cs="宋体"/>
          <w:sz w:val="28"/>
          <w:szCs w:val="28"/>
        </w:rPr>
      </w:pPr>
      <w:r>
        <w:rPr>
          <w:rFonts w:hint="eastAsia" w:ascii="宋体" w:hAnsi="宋体" w:cs="宋体"/>
          <w:sz w:val="28"/>
          <w:szCs w:val="28"/>
        </w:rPr>
        <w:t>2.收费执行情况；</w:t>
      </w:r>
    </w:p>
    <w:p>
      <w:pPr>
        <w:spacing w:line="560" w:lineRule="exact"/>
        <w:ind w:firstLine="560" w:firstLineChars="200"/>
        <w:rPr>
          <w:rFonts w:ascii="宋体" w:hAnsi="宋体" w:cs="宋体"/>
          <w:sz w:val="28"/>
          <w:szCs w:val="28"/>
        </w:rPr>
      </w:pPr>
      <w:r>
        <w:rPr>
          <w:rFonts w:hint="eastAsia" w:ascii="宋体" w:hAnsi="宋体" w:cs="宋体"/>
          <w:sz w:val="28"/>
          <w:szCs w:val="28"/>
        </w:rPr>
        <w:t>3.档案存放；</w:t>
      </w:r>
    </w:p>
    <w:p>
      <w:pPr>
        <w:spacing w:line="560" w:lineRule="exact"/>
        <w:ind w:firstLine="560" w:firstLineChars="200"/>
        <w:rPr>
          <w:rFonts w:ascii="宋体" w:hAnsi="宋体" w:cs="宋体"/>
          <w:sz w:val="28"/>
          <w:szCs w:val="28"/>
        </w:rPr>
      </w:pPr>
      <w:r>
        <w:rPr>
          <w:rFonts w:hint="eastAsia" w:ascii="宋体" w:hAnsi="宋体" w:cs="宋体"/>
          <w:sz w:val="28"/>
          <w:szCs w:val="28"/>
        </w:rPr>
        <w:t>4.纳税信用等级。</w:t>
      </w:r>
    </w:p>
    <w:p>
      <w:pPr>
        <w:spacing w:line="560" w:lineRule="exact"/>
        <w:rPr>
          <w:rFonts w:ascii="宋体" w:hAnsi="宋体" w:cs="宋体"/>
          <w:sz w:val="28"/>
          <w:szCs w:val="28"/>
        </w:rPr>
      </w:pPr>
      <w:r>
        <w:rPr>
          <w:rFonts w:hint="eastAsia" w:ascii="宋体" w:hAnsi="宋体" w:cs="宋体"/>
          <w:sz w:val="28"/>
          <w:szCs w:val="28"/>
        </w:rPr>
        <w:t xml:space="preserve">    </w:t>
      </w:r>
      <w:r>
        <w:rPr>
          <w:rFonts w:hint="eastAsia" w:ascii="宋体" w:hAnsi="宋体" w:cs="宋体"/>
          <w:b/>
          <w:sz w:val="28"/>
          <w:szCs w:val="28"/>
        </w:rPr>
        <w:t>第十二条</w:t>
      </w:r>
      <w:r>
        <w:rPr>
          <w:rFonts w:hint="eastAsia" w:ascii="宋体" w:hAnsi="宋体" w:cs="宋体"/>
          <w:sz w:val="28"/>
          <w:szCs w:val="28"/>
        </w:rPr>
        <w:t xml:space="preserve"> 行业贡献</w:t>
      </w:r>
    </w:p>
    <w:p>
      <w:pPr>
        <w:spacing w:line="560" w:lineRule="exact"/>
        <w:ind w:firstLine="560" w:firstLineChars="200"/>
        <w:rPr>
          <w:rFonts w:ascii="宋体" w:hAnsi="宋体" w:cs="宋体"/>
          <w:sz w:val="28"/>
          <w:szCs w:val="28"/>
        </w:rPr>
      </w:pPr>
      <w:r>
        <w:rPr>
          <w:rFonts w:hint="eastAsia" w:ascii="宋体" w:hAnsi="宋体" w:cs="宋体"/>
          <w:sz w:val="28"/>
          <w:szCs w:val="28"/>
        </w:rPr>
        <w:t>1.业内专家；</w:t>
      </w:r>
    </w:p>
    <w:p>
      <w:pPr>
        <w:spacing w:line="560" w:lineRule="exact"/>
        <w:ind w:firstLine="560" w:firstLineChars="200"/>
        <w:rPr>
          <w:rFonts w:ascii="宋体" w:hAnsi="宋体" w:cs="宋体"/>
          <w:sz w:val="28"/>
          <w:szCs w:val="28"/>
        </w:rPr>
      </w:pPr>
      <w:r>
        <w:rPr>
          <w:rFonts w:hint="eastAsia" w:ascii="宋体" w:hAnsi="宋体" w:cs="宋体"/>
          <w:sz w:val="28"/>
          <w:szCs w:val="28"/>
        </w:rPr>
        <w:t>2.参与行业活动；</w:t>
      </w:r>
    </w:p>
    <w:p>
      <w:pPr>
        <w:spacing w:line="560" w:lineRule="exact"/>
        <w:ind w:firstLine="560" w:firstLineChars="200"/>
        <w:rPr>
          <w:rFonts w:ascii="宋体" w:hAnsi="宋体" w:cs="宋体"/>
          <w:sz w:val="28"/>
          <w:szCs w:val="28"/>
        </w:rPr>
      </w:pPr>
      <w:r>
        <w:rPr>
          <w:rFonts w:hint="eastAsia" w:ascii="宋体" w:hAnsi="宋体" w:cs="宋体"/>
          <w:sz w:val="28"/>
          <w:szCs w:val="28"/>
        </w:rPr>
        <w:t>3.继续教育及会费；</w:t>
      </w:r>
    </w:p>
    <w:p>
      <w:pPr>
        <w:spacing w:line="560" w:lineRule="exact"/>
        <w:ind w:firstLine="560" w:firstLineChars="200"/>
        <w:rPr>
          <w:rFonts w:ascii="宋体" w:hAnsi="宋体" w:cs="宋体"/>
          <w:sz w:val="28"/>
          <w:szCs w:val="28"/>
        </w:rPr>
      </w:pPr>
      <w:r>
        <w:rPr>
          <w:rFonts w:hint="eastAsia" w:ascii="宋体" w:hAnsi="宋体" w:cs="宋体"/>
          <w:sz w:val="28"/>
          <w:szCs w:val="28"/>
        </w:rPr>
        <w:t>4.学术论文。</w:t>
      </w:r>
    </w:p>
    <w:p>
      <w:pPr>
        <w:spacing w:line="560" w:lineRule="exact"/>
        <w:ind w:firstLine="562" w:firstLineChars="200"/>
        <w:rPr>
          <w:rFonts w:ascii="宋体" w:hAnsi="宋体" w:cs="宋体"/>
          <w:sz w:val="28"/>
          <w:szCs w:val="28"/>
        </w:rPr>
      </w:pPr>
      <w:r>
        <w:rPr>
          <w:rFonts w:hint="eastAsia" w:ascii="宋体" w:hAnsi="宋体" w:cs="宋体"/>
          <w:b/>
          <w:sz w:val="28"/>
          <w:szCs w:val="28"/>
        </w:rPr>
        <w:t>第十三条</w:t>
      </w:r>
      <w:r>
        <w:rPr>
          <w:rFonts w:hint="eastAsia" w:ascii="宋体" w:hAnsi="宋体" w:cs="宋体"/>
          <w:sz w:val="28"/>
          <w:szCs w:val="28"/>
        </w:rPr>
        <w:t xml:space="preserve"> 报告质量</w:t>
      </w:r>
    </w:p>
    <w:p>
      <w:pPr>
        <w:spacing w:line="560" w:lineRule="exact"/>
        <w:ind w:firstLine="560" w:firstLineChars="200"/>
        <w:rPr>
          <w:rFonts w:ascii="宋体" w:hAnsi="宋体" w:cs="宋体"/>
          <w:sz w:val="28"/>
          <w:szCs w:val="28"/>
        </w:rPr>
      </w:pPr>
      <w:r>
        <w:rPr>
          <w:rFonts w:hint="eastAsia" w:ascii="宋体" w:hAnsi="宋体" w:cs="宋体"/>
          <w:sz w:val="28"/>
          <w:szCs w:val="28"/>
        </w:rPr>
        <w:t>评定年度土地估价报告审查结果等级。</w:t>
      </w:r>
    </w:p>
    <w:p>
      <w:pPr>
        <w:spacing w:line="560" w:lineRule="exact"/>
        <w:ind w:firstLine="562" w:firstLineChars="200"/>
        <w:rPr>
          <w:rFonts w:ascii="宋体" w:hAnsi="宋体" w:cs="宋体"/>
          <w:sz w:val="28"/>
          <w:szCs w:val="28"/>
        </w:rPr>
      </w:pPr>
      <w:r>
        <w:rPr>
          <w:rFonts w:hint="eastAsia" w:ascii="宋体" w:hAnsi="宋体" w:cs="宋体"/>
          <w:b/>
          <w:sz w:val="28"/>
          <w:szCs w:val="28"/>
        </w:rPr>
        <w:t>第十四条</w:t>
      </w:r>
      <w:r>
        <w:rPr>
          <w:rFonts w:hint="eastAsia" w:ascii="宋体" w:hAnsi="宋体" w:cs="宋体"/>
          <w:sz w:val="28"/>
          <w:szCs w:val="28"/>
        </w:rPr>
        <w:t xml:space="preserve"> 加分项</w:t>
      </w:r>
    </w:p>
    <w:p>
      <w:pPr>
        <w:spacing w:line="560" w:lineRule="exact"/>
        <w:ind w:firstLine="560" w:firstLineChars="200"/>
        <w:rPr>
          <w:rFonts w:ascii="宋体" w:hAnsi="宋体" w:cs="宋体"/>
          <w:sz w:val="28"/>
          <w:szCs w:val="28"/>
        </w:rPr>
      </w:pPr>
      <w:r>
        <w:rPr>
          <w:rFonts w:hint="eastAsia" w:ascii="宋体" w:hAnsi="宋体" w:cs="宋体"/>
          <w:sz w:val="28"/>
          <w:szCs w:val="28"/>
        </w:rPr>
        <w:t>1.设立工会、党支部；</w:t>
      </w:r>
    </w:p>
    <w:p>
      <w:pPr>
        <w:spacing w:line="560" w:lineRule="exact"/>
        <w:ind w:firstLine="560" w:firstLineChars="200"/>
        <w:rPr>
          <w:rFonts w:ascii="宋体" w:hAnsi="宋体" w:cs="宋体"/>
          <w:sz w:val="28"/>
          <w:szCs w:val="28"/>
        </w:rPr>
      </w:pPr>
      <w:r>
        <w:rPr>
          <w:rFonts w:hint="eastAsia" w:ascii="宋体" w:hAnsi="宋体" w:cs="宋体"/>
          <w:sz w:val="28"/>
          <w:szCs w:val="28"/>
        </w:rPr>
        <w:t>2.社会公益；</w:t>
      </w:r>
    </w:p>
    <w:p>
      <w:pPr>
        <w:spacing w:line="560" w:lineRule="exact"/>
        <w:ind w:firstLine="560" w:firstLineChars="200"/>
        <w:rPr>
          <w:rFonts w:ascii="宋体" w:hAnsi="宋体" w:cs="宋体"/>
          <w:sz w:val="28"/>
          <w:szCs w:val="28"/>
        </w:rPr>
      </w:pPr>
      <w:r>
        <w:rPr>
          <w:rFonts w:hint="eastAsia" w:ascii="宋体" w:hAnsi="宋体" w:cs="宋体"/>
          <w:sz w:val="28"/>
          <w:szCs w:val="28"/>
        </w:rPr>
        <w:t>3.参政议政；</w:t>
      </w:r>
    </w:p>
    <w:p>
      <w:pPr>
        <w:spacing w:line="560" w:lineRule="exact"/>
        <w:ind w:firstLine="560" w:firstLineChars="200"/>
        <w:rPr>
          <w:rFonts w:ascii="宋体" w:hAnsi="宋体" w:cs="宋体"/>
          <w:sz w:val="28"/>
          <w:szCs w:val="28"/>
        </w:rPr>
      </w:pPr>
      <w:r>
        <w:rPr>
          <w:rFonts w:hint="eastAsia" w:ascii="宋体" w:hAnsi="宋体" w:cs="宋体"/>
          <w:sz w:val="28"/>
          <w:szCs w:val="28"/>
        </w:rPr>
        <w:t>4.表彰奖励；</w:t>
      </w:r>
    </w:p>
    <w:p>
      <w:pPr>
        <w:spacing w:line="560" w:lineRule="exact"/>
        <w:ind w:firstLine="560" w:firstLineChars="200"/>
        <w:rPr>
          <w:rFonts w:ascii="宋体" w:hAnsi="宋体" w:cs="宋体"/>
          <w:sz w:val="28"/>
          <w:szCs w:val="28"/>
        </w:rPr>
      </w:pPr>
      <w:r>
        <w:rPr>
          <w:rFonts w:hint="eastAsia" w:ascii="宋体" w:hAnsi="宋体" w:cs="宋体"/>
          <w:sz w:val="28"/>
          <w:szCs w:val="28"/>
        </w:rPr>
        <w:t>5.课题研究；</w:t>
      </w:r>
    </w:p>
    <w:p>
      <w:pPr>
        <w:spacing w:line="560" w:lineRule="exact"/>
        <w:ind w:firstLine="560" w:firstLineChars="200"/>
        <w:rPr>
          <w:rFonts w:ascii="宋体" w:hAnsi="宋体" w:cs="宋体"/>
          <w:sz w:val="28"/>
          <w:szCs w:val="28"/>
        </w:rPr>
      </w:pPr>
      <w:r>
        <w:rPr>
          <w:rFonts w:hint="eastAsia" w:ascii="宋体" w:hAnsi="宋体" w:cs="宋体"/>
          <w:sz w:val="28"/>
          <w:szCs w:val="28"/>
        </w:rPr>
        <w:t>6.业务拓展；</w:t>
      </w:r>
    </w:p>
    <w:p>
      <w:pPr>
        <w:spacing w:line="560" w:lineRule="exact"/>
        <w:ind w:firstLine="560" w:firstLineChars="200"/>
        <w:rPr>
          <w:rFonts w:ascii="宋体" w:hAnsi="宋体" w:cs="宋体"/>
          <w:sz w:val="28"/>
          <w:szCs w:val="28"/>
        </w:rPr>
      </w:pPr>
      <w:r>
        <w:rPr>
          <w:rFonts w:hint="eastAsia" w:ascii="宋体" w:hAnsi="宋体" w:cs="宋体"/>
          <w:sz w:val="28"/>
          <w:szCs w:val="28"/>
        </w:rPr>
        <w:t>7.其他。</w:t>
      </w:r>
    </w:p>
    <w:p>
      <w:pPr>
        <w:spacing w:line="560" w:lineRule="exact"/>
        <w:ind w:firstLine="562" w:firstLineChars="200"/>
        <w:rPr>
          <w:rFonts w:ascii="宋体" w:hAnsi="宋体" w:cs="宋体"/>
          <w:sz w:val="28"/>
          <w:szCs w:val="28"/>
        </w:rPr>
      </w:pPr>
      <w:r>
        <w:rPr>
          <w:rFonts w:hint="eastAsia" w:ascii="宋体" w:hAnsi="宋体" w:cs="宋体"/>
          <w:b/>
          <w:sz w:val="28"/>
          <w:szCs w:val="28"/>
        </w:rPr>
        <w:t>第十五条</w:t>
      </w:r>
      <w:r>
        <w:rPr>
          <w:rFonts w:hint="eastAsia" w:ascii="宋体" w:hAnsi="宋体" w:cs="宋体"/>
          <w:sz w:val="28"/>
          <w:szCs w:val="28"/>
        </w:rPr>
        <w:t xml:space="preserve"> 扣分项</w:t>
      </w:r>
    </w:p>
    <w:p>
      <w:pPr>
        <w:spacing w:line="560" w:lineRule="exact"/>
        <w:ind w:firstLine="560" w:firstLineChars="200"/>
        <w:rPr>
          <w:rFonts w:ascii="宋体" w:hAnsi="宋体" w:cs="宋体"/>
          <w:sz w:val="28"/>
          <w:szCs w:val="28"/>
        </w:rPr>
      </w:pPr>
      <w:r>
        <w:rPr>
          <w:rFonts w:hint="eastAsia" w:ascii="宋体" w:hAnsi="宋体" w:cs="宋体"/>
          <w:sz w:val="28"/>
          <w:szCs w:val="28"/>
        </w:rPr>
        <w:t>评定年度至递交机构申请材料之日，受到投诉、举报经省自然资源厅或省协会查证属实的，或者不按时缴纳会费的。</w:t>
      </w:r>
    </w:p>
    <w:p>
      <w:pPr>
        <w:spacing w:line="560" w:lineRule="exact"/>
        <w:rPr>
          <w:rFonts w:ascii="宋体" w:hAnsi="宋体" w:cs="宋体"/>
          <w:sz w:val="28"/>
          <w:szCs w:val="28"/>
        </w:rPr>
      </w:pPr>
      <w:r>
        <w:rPr>
          <w:rFonts w:hint="eastAsia" w:ascii="宋体" w:hAnsi="宋体" w:cs="宋体"/>
          <w:b/>
          <w:sz w:val="28"/>
          <w:szCs w:val="28"/>
        </w:rPr>
        <w:t xml:space="preserve">   </w:t>
      </w:r>
      <w:r>
        <w:rPr>
          <w:rFonts w:hint="eastAsia" w:ascii="宋体" w:hAnsi="宋体" w:cs="宋体"/>
          <w:sz w:val="28"/>
          <w:szCs w:val="28"/>
        </w:rPr>
        <w:t xml:space="preserve"> </w:t>
      </w:r>
      <w:r>
        <w:rPr>
          <w:rFonts w:hint="eastAsia" w:ascii="宋体" w:hAnsi="宋体" w:cs="宋体"/>
          <w:b/>
          <w:sz w:val="28"/>
          <w:szCs w:val="28"/>
        </w:rPr>
        <w:t xml:space="preserve">第十六条 </w:t>
      </w:r>
      <w:r>
        <w:rPr>
          <w:rFonts w:hint="eastAsia" w:ascii="宋体" w:hAnsi="宋体" w:cs="宋体"/>
          <w:sz w:val="28"/>
          <w:szCs w:val="28"/>
        </w:rPr>
        <w:t>《河南省土地估价机构资信评定评分标准》（详见附件2）。</w:t>
      </w:r>
    </w:p>
    <w:p>
      <w:pPr>
        <w:spacing w:before="312" w:beforeLines="100" w:after="312" w:afterLines="100" w:line="560" w:lineRule="exact"/>
        <w:jc w:val="center"/>
        <w:rPr>
          <w:rFonts w:ascii="宋体" w:hAnsi="宋体" w:cs="宋体"/>
          <w:b/>
          <w:bCs/>
          <w:sz w:val="28"/>
          <w:szCs w:val="28"/>
        </w:rPr>
      </w:pPr>
    </w:p>
    <w:p>
      <w:pPr>
        <w:spacing w:before="312" w:beforeLines="100" w:after="312" w:afterLines="100" w:line="560" w:lineRule="exact"/>
        <w:jc w:val="center"/>
        <w:rPr>
          <w:rFonts w:ascii="宋体" w:hAnsi="宋体" w:cs="宋体"/>
          <w:b/>
          <w:bCs/>
          <w:sz w:val="28"/>
          <w:szCs w:val="28"/>
        </w:rPr>
      </w:pPr>
    </w:p>
    <w:p>
      <w:pPr>
        <w:spacing w:before="312" w:beforeLines="100" w:after="312" w:afterLines="100" w:line="560" w:lineRule="exact"/>
        <w:ind w:firstLine="3012" w:firstLineChars="1000"/>
        <w:rPr>
          <w:rFonts w:ascii="宋体" w:hAnsi="宋体" w:cs="宋体"/>
          <w:b/>
          <w:bCs/>
          <w:sz w:val="30"/>
          <w:szCs w:val="30"/>
        </w:rPr>
      </w:pPr>
      <w:r>
        <w:rPr>
          <w:rFonts w:hint="eastAsia" w:ascii="宋体" w:hAnsi="宋体" w:cs="宋体"/>
          <w:b/>
          <w:bCs/>
          <w:sz w:val="30"/>
          <w:szCs w:val="30"/>
        </w:rPr>
        <w:t>第三章    资信评定程序</w:t>
      </w:r>
    </w:p>
    <w:p>
      <w:pPr>
        <w:spacing w:line="560" w:lineRule="exact"/>
        <w:rPr>
          <w:rFonts w:ascii="宋体" w:hAnsi="宋体" w:cs="宋体"/>
          <w:sz w:val="28"/>
          <w:szCs w:val="28"/>
        </w:rPr>
      </w:pPr>
      <w:r>
        <w:rPr>
          <w:rFonts w:hint="eastAsia" w:ascii="宋体" w:hAnsi="宋体" w:cs="宋体"/>
          <w:b/>
          <w:bCs/>
          <w:sz w:val="28"/>
          <w:szCs w:val="28"/>
        </w:rPr>
        <w:t xml:space="preserve">    第十七条 </w:t>
      </w:r>
      <w:r>
        <w:rPr>
          <w:rFonts w:hint="eastAsia" w:ascii="宋体" w:hAnsi="宋体" w:cs="宋体"/>
          <w:sz w:val="28"/>
          <w:szCs w:val="28"/>
        </w:rPr>
        <w:t>资信评定工作按照申请、受理、评定、公示、公布、发证的程序进行。</w:t>
      </w:r>
    </w:p>
    <w:p>
      <w:pPr>
        <w:spacing w:line="560" w:lineRule="exact"/>
        <w:ind w:firstLine="562" w:firstLineChars="200"/>
        <w:rPr>
          <w:rFonts w:ascii="宋体" w:hAnsi="宋体" w:cs="宋体"/>
          <w:sz w:val="28"/>
          <w:szCs w:val="28"/>
        </w:rPr>
      </w:pPr>
      <w:r>
        <w:rPr>
          <w:rFonts w:hint="eastAsia" w:ascii="宋体" w:hAnsi="宋体" w:cs="宋体"/>
          <w:b/>
          <w:sz w:val="28"/>
          <w:szCs w:val="28"/>
        </w:rPr>
        <w:t>第十八条</w:t>
      </w:r>
      <w:r>
        <w:rPr>
          <w:rFonts w:hint="eastAsia" w:ascii="宋体" w:hAnsi="宋体" w:cs="宋体"/>
          <w:sz w:val="28"/>
          <w:szCs w:val="28"/>
        </w:rPr>
        <w:t xml:space="preserve"> 会员机构申请资信评定的，应当向省协会提交《河南省土地估价机构资信评定申请表》（详见附件1），同时提交以下材料的复印件。 </w:t>
      </w:r>
    </w:p>
    <w:p>
      <w:pPr>
        <w:spacing w:line="560" w:lineRule="exact"/>
        <w:ind w:firstLine="560" w:firstLineChars="200"/>
        <w:rPr>
          <w:rFonts w:ascii="宋体" w:hAnsi="宋体" w:cs="宋体"/>
          <w:sz w:val="28"/>
          <w:szCs w:val="28"/>
        </w:rPr>
      </w:pPr>
      <w:r>
        <w:rPr>
          <w:rFonts w:hint="eastAsia" w:ascii="宋体" w:hAnsi="宋体" w:cs="宋体"/>
          <w:sz w:val="28"/>
          <w:szCs w:val="28"/>
        </w:rPr>
        <w:t>1.机构证明材料：包括有效的营业执照、备案函、机构入会时间证明、经营场地证明、机构的各项管理制度、估价师及收费标准公示、档案存放情况证明；</w:t>
      </w:r>
    </w:p>
    <w:p>
      <w:pPr>
        <w:spacing w:line="560" w:lineRule="exact"/>
        <w:ind w:firstLine="560" w:firstLineChars="200"/>
        <w:rPr>
          <w:rFonts w:ascii="宋体" w:hAnsi="宋体" w:cs="宋体"/>
          <w:sz w:val="28"/>
          <w:szCs w:val="28"/>
        </w:rPr>
      </w:pPr>
      <w:r>
        <w:rPr>
          <w:rFonts w:hint="eastAsia" w:ascii="宋体" w:hAnsi="宋体" w:cs="宋体"/>
          <w:sz w:val="28"/>
          <w:szCs w:val="28"/>
        </w:rPr>
        <w:t>2.估价师证明材料：包括执业土地估价师名单、估价师资格证书、专家证书，缴纳社保证明（以评定年度有效备案函和文件等为准）；</w:t>
      </w:r>
    </w:p>
    <w:p>
      <w:pPr>
        <w:spacing w:line="560" w:lineRule="exact"/>
        <w:ind w:firstLine="560" w:firstLineChars="200"/>
        <w:rPr>
          <w:rFonts w:ascii="宋体" w:hAnsi="宋体" w:cs="宋体"/>
          <w:sz w:val="28"/>
          <w:szCs w:val="28"/>
        </w:rPr>
      </w:pPr>
      <w:r>
        <w:rPr>
          <w:rFonts w:hint="eastAsia" w:ascii="宋体" w:hAnsi="宋体" w:cs="宋体"/>
          <w:sz w:val="28"/>
          <w:szCs w:val="28"/>
        </w:rPr>
        <w:t xml:space="preserve">3.机构纳税信用等级资料：税务局信用系统截屏；                                                                                                                          </w:t>
      </w:r>
    </w:p>
    <w:p>
      <w:pPr>
        <w:spacing w:line="560" w:lineRule="exact"/>
        <w:ind w:firstLine="560" w:firstLineChars="200"/>
        <w:rPr>
          <w:rFonts w:ascii="宋体" w:hAnsi="宋体" w:cs="宋体"/>
          <w:sz w:val="28"/>
          <w:szCs w:val="28"/>
        </w:rPr>
      </w:pPr>
      <w:r>
        <w:rPr>
          <w:rFonts w:hint="eastAsia" w:ascii="宋体" w:hAnsi="宋体" w:cs="宋体"/>
          <w:sz w:val="28"/>
          <w:szCs w:val="28"/>
        </w:rPr>
        <w:t>4.行业贡献</w:t>
      </w:r>
    </w:p>
    <w:p>
      <w:pPr>
        <w:spacing w:line="560" w:lineRule="exact"/>
        <w:ind w:firstLine="420" w:firstLineChars="150"/>
        <w:rPr>
          <w:rFonts w:ascii="宋体" w:hAnsi="宋体" w:cs="宋体"/>
          <w:sz w:val="28"/>
          <w:szCs w:val="28"/>
        </w:rPr>
      </w:pPr>
      <w:r>
        <w:rPr>
          <w:rFonts w:hint="eastAsia" w:ascii="宋体" w:hAnsi="宋体" w:cs="宋体"/>
          <w:sz w:val="28"/>
          <w:szCs w:val="28"/>
        </w:rPr>
        <w:t>（1）列明参与自然资源部、省自然资源厅、中估协、省协会活动类型、数量、人员姓名；</w:t>
      </w:r>
    </w:p>
    <w:p>
      <w:pPr>
        <w:spacing w:line="560" w:lineRule="exact"/>
        <w:ind w:firstLine="420" w:firstLineChars="150"/>
        <w:rPr>
          <w:rFonts w:ascii="宋体" w:hAnsi="宋体" w:cs="宋体"/>
          <w:sz w:val="28"/>
          <w:szCs w:val="28"/>
        </w:rPr>
      </w:pPr>
      <w:r>
        <w:rPr>
          <w:rFonts w:hint="eastAsia" w:ascii="宋体" w:hAnsi="宋体" w:cs="宋体"/>
          <w:sz w:val="28"/>
          <w:szCs w:val="28"/>
        </w:rPr>
        <w:t>（2）近两年学术论文，列明名称及数量，发表报刊杂志，获奖证书等；</w:t>
      </w:r>
    </w:p>
    <w:p>
      <w:pPr>
        <w:spacing w:line="560" w:lineRule="exact"/>
        <w:ind w:firstLine="560"/>
        <w:rPr>
          <w:rFonts w:ascii="宋体" w:hAnsi="宋体" w:cs="宋体"/>
          <w:sz w:val="28"/>
          <w:szCs w:val="28"/>
        </w:rPr>
      </w:pPr>
      <w:r>
        <w:rPr>
          <w:rFonts w:hint="eastAsia" w:ascii="宋体" w:hAnsi="宋体" w:cs="宋体"/>
          <w:sz w:val="28"/>
          <w:szCs w:val="28"/>
        </w:rPr>
        <w:t>5.参政议政：人大代表、政协委员证及在本单位社保证明；</w:t>
      </w:r>
    </w:p>
    <w:p>
      <w:pPr>
        <w:spacing w:line="560" w:lineRule="exact"/>
        <w:ind w:firstLine="560"/>
        <w:rPr>
          <w:rFonts w:ascii="宋体" w:hAnsi="宋体" w:cs="宋体"/>
          <w:sz w:val="28"/>
          <w:szCs w:val="28"/>
        </w:rPr>
      </w:pPr>
      <w:r>
        <w:rPr>
          <w:rFonts w:hint="eastAsia" w:ascii="宋体" w:hAnsi="宋体" w:cs="宋体"/>
          <w:sz w:val="28"/>
          <w:szCs w:val="28"/>
        </w:rPr>
        <w:t>6.机构及其员工参加公益活动的荣誉证书和发票、社保等相关证明；</w:t>
      </w:r>
    </w:p>
    <w:p>
      <w:pPr>
        <w:spacing w:line="560" w:lineRule="exact"/>
        <w:ind w:firstLine="560"/>
        <w:rPr>
          <w:rFonts w:ascii="宋体" w:hAnsi="宋体" w:cs="宋体"/>
          <w:sz w:val="28"/>
          <w:szCs w:val="28"/>
        </w:rPr>
      </w:pPr>
      <w:r>
        <w:rPr>
          <w:rFonts w:hint="eastAsia" w:ascii="宋体" w:hAnsi="宋体" w:cs="宋体"/>
          <w:sz w:val="28"/>
          <w:szCs w:val="28"/>
        </w:rPr>
        <w:t>7.成立工会、党支部的证明材料；</w:t>
      </w:r>
    </w:p>
    <w:p>
      <w:pPr>
        <w:spacing w:line="560" w:lineRule="exact"/>
        <w:ind w:firstLine="560"/>
        <w:rPr>
          <w:rFonts w:ascii="宋体" w:hAnsi="宋体" w:cs="宋体"/>
          <w:sz w:val="28"/>
          <w:szCs w:val="28"/>
        </w:rPr>
      </w:pPr>
      <w:r>
        <w:rPr>
          <w:rFonts w:hint="eastAsia" w:ascii="宋体" w:hAnsi="宋体" w:cs="宋体"/>
          <w:sz w:val="28"/>
          <w:szCs w:val="28"/>
        </w:rPr>
        <w:t>8.表彰奖励：评定年度省、市、县有关行政部门对机构和主要负责人的表彰奖励，提供相关的文件或证书；</w:t>
      </w:r>
    </w:p>
    <w:p>
      <w:pPr>
        <w:ind w:firstLine="560" w:firstLineChars="200"/>
        <w:rPr>
          <w:rFonts w:ascii="宋体" w:hAnsi="宋体" w:cs="宋体"/>
          <w:sz w:val="28"/>
          <w:szCs w:val="28"/>
        </w:rPr>
      </w:pPr>
      <w:r>
        <w:rPr>
          <w:rFonts w:hint="eastAsia" w:ascii="宋体" w:hAnsi="宋体" w:cs="宋体"/>
          <w:sz w:val="28"/>
          <w:szCs w:val="28"/>
        </w:rPr>
        <w:t>9.课题研究：近两年市级以上行政单位或行业协会课题，列明名称、验收意见、获奖证书等；</w:t>
      </w:r>
    </w:p>
    <w:p>
      <w:pPr>
        <w:ind w:firstLine="560" w:firstLineChars="200"/>
        <w:rPr>
          <w:rFonts w:ascii="宋体" w:hAnsi="宋体" w:cs="宋体"/>
          <w:sz w:val="28"/>
          <w:szCs w:val="28"/>
        </w:rPr>
      </w:pPr>
      <w:r>
        <w:rPr>
          <w:rFonts w:hint="eastAsia" w:ascii="宋体" w:hAnsi="宋体" w:cs="宋体"/>
          <w:sz w:val="28"/>
          <w:szCs w:val="28"/>
        </w:rPr>
        <w:t>10.业务拓展：宗地评估之外的其他自然资源评估评价业务的中标通知书或合同；</w:t>
      </w:r>
    </w:p>
    <w:p>
      <w:pPr>
        <w:ind w:firstLine="560" w:firstLineChars="200"/>
        <w:rPr>
          <w:rFonts w:ascii="宋体" w:hAnsi="宋体" w:cs="宋体"/>
          <w:sz w:val="28"/>
          <w:szCs w:val="28"/>
        </w:rPr>
      </w:pPr>
      <w:r>
        <w:rPr>
          <w:rFonts w:hint="eastAsia" w:ascii="宋体" w:hAnsi="宋体" w:cs="宋体"/>
          <w:sz w:val="28"/>
          <w:szCs w:val="28"/>
        </w:rPr>
        <w:t>11.其他材料：对协会或行业有突出贡献等情况的证明材料。</w:t>
      </w:r>
    </w:p>
    <w:p>
      <w:pPr>
        <w:spacing w:line="560" w:lineRule="exact"/>
        <w:rPr>
          <w:rFonts w:ascii="宋体" w:hAnsi="宋体" w:cs="宋体"/>
          <w:sz w:val="28"/>
          <w:szCs w:val="28"/>
        </w:rPr>
      </w:pPr>
      <w:r>
        <w:rPr>
          <w:rFonts w:hint="eastAsia" w:ascii="宋体" w:hAnsi="宋体" w:cs="宋体"/>
          <w:b/>
          <w:bCs/>
          <w:sz w:val="28"/>
          <w:szCs w:val="28"/>
        </w:rPr>
        <w:t xml:space="preserve">    第十九条 </w:t>
      </w:r>
      <w:r>
        <w:rPr>
          <w:rFonts w:hint="eastAsia" w:ascii="宋体" w:hAnsi="宋体" w:cs="宋体"/>
          <w:sz w:val="28"/>
          <w:szCs w:val="28"/>
        </w:rPr>
        <w:t>参评机构将有关材料按顺序、编制目录、胶装成册并加盖公章，提交时带原件由秘书处审核，电子文档同时发省协会邮箱。</w:t>
      </w:r>
    </w:p>
    <w:p>
      <w:pPr>
        <w:spacing w:line="560" w:lineRule="exact"/>
        <w:rPr>
          <w:rFonts w:ascii="宋体" w:hAnsi="宋体" w:cs="宋体"/>
          <w:sz w:val="28"/>
          <w:szCs w:val="28"/>
        </w:rPr>
      </w:pPr>
      <w:r>
        <w:rPr>
          <w:rFonts w:hint="eastAsia" w:ascii="宋体" w:hAnsi="宋体" w:cs="宋体"/>
          <w:b/>
          <w:bCs/>
          <w:sz w:val="28"/>
          <w:szCs w:val="28"/>
        </w:rPr>
        <w:t xml:space="preserve">    第二十条 </w:t>
      </w:r>
      <w:r>
        <w:rPr>
          <w:rFonts w:hint="eastAsia" w:ascii="宋体" w:hAnsi="宋体" w:cs="宋体"/>
          <w:sz w:val="28"/>
          <w:szCs w:val="28"/>
        </w:rPr>
        <w:t>省协会秘书处</w:t>
      </w:r>
      <w:r>
        <w:rPr>
          <w:rFonts w:hint="eastAsia" w:ascii="宋体" w:hAnsi="宋体" w:cs="宋体"/>
          <w:bCs/>
          <w:sz w:val="28"/>
          <w:szCs w:val="28"/>
        </w:rPr>
        <w:t>负责申报材料的受理、原件的审查、上一年度报告审查结果、上一年度通报情况的审定。</w:t>
      </w:r>
      <w:r>
        <w:rPr>
          <w:rFonts w:hint="eastAsia" w:ascii="宋体" w:hAnsi="宋体" w:cs="宋体"/>
          <w:sz w:val="28"/>
          <w:szCs w:val="28"/>
        </w:rPr>
        <w:t>申请材料齐全且符合要求的，应当予以受理；对申请材料不符合报名条件的，应当一次性指正（出）存在的问题，要求申请机构在5个工作日内补正，逾期未补正的，视为放弃，不再受理。</w:t>
      </w:r>
    </w:p>
    <w:p>
      <w:pPr>
        <w:ind w:firstLine="560" w:firstLineChars="200"/>
        <w:rPr>
          <w:rFonts w:ascii="宋体" w:hAnsi="宋体" w:cs="宋体"/>
          <w:sz w:val="28"/>
          <w:szCs w:val="28"/>
        </w:rPr>
      </w:pPr>
    </w:p>
    <w:p>
      <w:pPr>
        <w:spacing w:before="312" w:beforeLines="100" w:after="312" w:afterLines="100" w:line="560" w:lineRule="exact"/>
        <w:ind w:firstLine="2699" w:firstLineChars="896"/>
        <w:rPr>
          <w:rFonts w:ascii="宋体" w:hAnsi="宋体" w:cs="宋体"/>
          <w:b/>
          <w:bCs/>
          <w:sz w:val="30"/>
          <w:szCs w:val="30"/>
        </w:rPr>
      </w:pPr>
    </w:p>
    <w:p>
      <w:pPr>
        <w:spacing w:before="312" w:beforeLines="100" w:after="312" w:afterLines="100" w:line="560" w:lineRule="exact"/>
        <w:ind w:firstLine="2699" w:firstLineChars="896"/>
        <w:rPr>
          <w:rFonts w:ascii="宋体" w:hAnsi="宋体" w:cs="宋体"/>
          <w:b/>
          <w:sz w:val="30"/>
          <w:szCs w:val="30"/>
        </w:rPr>
      </w:pPr>
      <w:r>
        <w:rPr>
          <w:rFonts w:hint="eastAsia" w:ascii="宋体" w:hAnsi="宋体" w:cs="宋体"/>
          <w:b/>
          <w:bCs/>
          <w:sz w:val="30"/>
          <w:szCs w:val="30"/>
        </w:rPr>
        <w:t>第四章  资信评定实施</w:t>
      </w:r>
    </w:p>
    <w:p>
      <w:pPr>
        <w:spacing w:line="560" w:lineRule="exact"/>
        <w:rPr>
          <w:rFonts w:ascii="宋体" w:hAnsi="宋体" w:cs="宋体"/>
          <w:sz w:val="28"/>
          <w:szCs w:val="28"/>
        </w:rPr>
      </w:pPr>
      <w:r>
        <w:rPr>
          <w:rFonts w:hint="eastAsia" w:ascii="宋体" w:hAnsi="宋体" w:cs="宋体"/>
          <w:b/>
          <w:sz w:val="28"/>
          <w:szCs w:val="28"/>
        </w:rPr>
        <w:t xml:space="preserve">    第二十一条 </w:t>
      </w:r>
      <w:r>
        <w:rPr>
          <w:rFonts w:hint="eastAsia" w:ascii="宋体" w:hAnsi="宋体" w:cs="宋体"/>
          <w:sz w:val="28"/>
          <w:szCs w:val="28"/>
        </w:rPr>
        <w:t>省土地估价师协会专业规划与发展委员会组织有关专家和人员成立资信评定工作组。</w:t>
      </w:r>
    </w:p>
    <w:p>
      <w:pPr>
        <w:spacing w:line="560" w:lineRule="exact"/>
        <w:ind w:firstLine="560" w:firstLineChars="200"/>
        <w:rPr>
          <w:rFonts w:ascii="宋体" w:hAnsi="宋体" w:cs="宋体"/>
          <w:bCs/>
          <w:sz w:val="28"/>
          <w:szCs w:val="28"/>
        </w:rPr>
      </w:pPr>
      <w:r>
        <w:rPr>
          <w:rFonts w:hint="eastAsia" w:ascii="宋体" w:hAnsi="宋体" w:cs="宋体"/>
          <w:sz w:val="28"/>
          <w:szCs w:val="28"/>
        </w:rPr>
        <w:t>工作组下设若干个评定小组，</w:t>
      </w:r>
      <w:r>
        <w:rPr>
          <w:rFonts w:hint="eastAsia" w:ascii="宋体" w:hAnsi="宋体" w:cs="宋体"/>
          <w:bCs/>
          <w:sz w:val="28"/>
          <w:szCs w:val="28"/>
        </w:rPr>
        <w:t>每个资信评定小组由5人组成。</w:t>
      </w:r>
    </w:p>
    <w:p>
      <w:pPr>
        <w:spacing w:line="560" w:lineRule="exact"/>
        <w:ind w:firstLine="562" w:firstLineChars="200"/>
        <w:rPr>
          <w:rFonts w:ascii="宋体" w:hAnsi="宋体" w:cs="宋体"/>
          <w:sz w:val="28"/>
          <w:szCs w:val="28"/>
        </w:rPr>
      </w:pPr>
      <w:r>
        <w:rPr>
          <w:rFonts w:hint="eastAsia" w:ascii="宋体" w:hAnsi="宋体" w:cs="宋体"/>
          <w:b/>
          <w:sz w:val="28"/>
          <w:szCs w:val="28"/>
        </w:rPr>
        <w:t xml:space="preserve">第二十二条 </w:t>
      </w:r>
      <w:r>
        <w:rPr>
          <w:rFonts w:hint="eastAsia" w:ascii="宋体" w:hAnsi="宋体" w:cs="宋体"/>
          <w:sz w:val="28"/>
          <w:szCs w:val="28"/>
        </w:rPr>
        <w:t>资信评定工作组，履行下列职责：</w:t>
      </w:r>
    </w:p>
    <w:p>
      <w:pPr>
        <w:spacing w:line="560" w:lineRule="exact"/>
        <w:ind w:firstLine="560" w:firstLineChars="200"/>
        <w:rPr>
          <w:rFonts w:ascii="宋体" w:hAnsi="宋体" w:cs="宋体"/>
          <w:sz w:val="28"/>
          <w:szCs w:val="28"/>
        </w:rPr>
      </w:pPr>
      <w:r>
        <w:rPr>
          <w:rFonts w:hint="eastAsia" w:ascii="宋体" w:hAnsi="宋体" w:cs="宋体"/>
          <w:sz w:val="28"/>
          <w:szCs w:val="28"/>
        </w:rPr>
        <w:t>1.开展资信评定初评工作；</w:t>
      </w:r>
    </w:p>
    <w:p>
      <w:pPr>
        <w:spacing w:line="560" w:lineRule="exact"/>
        <w:ind w:firstLine="560" w:firstLineChars="200"/>
        <w:rPr>
          <w:rFonts w:ascii="宋体" w:hAnsi="宋体" w:cs="宋体"/>
          <w:sz w:val="28"/>
          <w:szCs w:val="28"/>
        </w:rPr>
      </w:pPr>
      <w:r>
        <w:rPr>
          <w:rFonts w:hint="eastAsia" w:ascii="宋体" w:hAnsi="宋体" w:cs="宋体"/>
          <w:sz w:val="28"/>
          <w:szCs w:val="28"/>
        </w:rPr>
        <w:t>2.形成资信等级初评结果。</w:t>
      </w:r>
    </w:p>
    <w:p>
      <w:pPr>
        <w:spacing w:line="560" w:lineRule="exact"/>
        <w:ind w:firstLine="562" w:firstLineChars="200"/>
        <w:rPr>
          <w:rFonts w:ascii="宋体" w:hAnsi="宋体" w:cs="宋体"/>
          <w:bCs/>
          <w:sz w:val="28"/>
          <w:szCs w:val="28"/>
        </w:rPr>
      </w:pPr>
      <w:r>
        <w:rPr>
          <w:rFonts w:hint="eastAsia" w:ascii="宋体" w:hAnsi="宋体" w:cs="宋体"/>
          <w:b/>
          <w:bCs/>
          <w:sz w:val="28"/>
          <w:szCs w:val="28"/>
        </w:rPr>
        <w:t xml:space="preserve">第二十三条 </w:t>
      </w:r>
      <w:r>
        <w:rPr>
          <w:rFonts w:hint="eastAsia" w:ascii="宋体" w:hAnsi="宋体" w:cs="宋体"/>
          <w:bCs/>
          <w:sz w:val="28"/>
          <w:szCs w:val="28"/>
        </w:rPr>
        <w:t>资信评定工作组对申请机构的申请材料进行评审，必要时还应当进行现场核实。</w:t>
      </w:r>
    </w:p>
    <w:p>
      <w:pPr>
        <w:spacing w:line="560" w:lineRule="exact"/>
        <w:rPr>
          <w:rFonts w:ascii="宋体" w:hAnsi="宋体" w:cs="宋体"/>
          <w:bCs/>
          <w:sz w:val="28"/>
          <w:szCs w:val="28"/>
        </w:rPr>
      </w:pPr>
      <w:r>
        <w:rPr>
          <w:rFonts w:hint="eastAsia" w:ascii="宋体" w:hAnsi="宋体" w:cs="宋体"/>
          <w:b/>
          <w:sz w:val="28"/>
          <w:szCs w:val="28"/>
        </w:rPr>
        <w:t xml:space="preserve">    </w:t>
      </w:r>
      <w:r>
        <w:rPr>
          <w:rFonts w:hint="eastAsia" w:ascii="宋体" w:hAnsi="宋体" w:cs="宋体"/>
          <w:b/>
          <w:bCs/>
          <w:sz w:val="28"/>
          <w:szCs w:val="28"/>
        </w:rPr>
        <w:t>第二十四条</w:t>
      </w:r>
      <w:r>
        <w:rPr>
          <w:rFonts w:hint="eastAsia" w:ascii="宋体" w:hAnsi="宋体" w:cs="宋体"/>
          <w:b/>
          <w:sz w:val="28"/>
          <w:szCs w:val="28"/>
        </w:rPr>
        <w:t xml:space="preserve"> </w:t>
      </w:r>
      <w:r>
        <w:rPr>
          <w:rFonts w:hint="eastAsia" w:ascii="宋体" w:hAnsi="宋体" w:cs="宋体"/>
          <w:sz w:val="28"/>
          <w:szCs w:val="28"/>
        </w:rPr>
        <w:t>资信评定工作组将初评结果提交会长办公会，由会长办公会审议后公示、公布。</w:t>
      </w:r>
    </w:p>
    <w:p>
      <w:pPr>
        <w:spacing w:line="560" w:lineRule="exact"/>
        <w:ind w:firstLine="562" w:firstLineChars="200"/>
        <w:rPr>
          <w:rFonts w:ascii="宋体" w:hAnsi="宋体" w:cs="宋体"/>
          <w:bCs/>
          <w:sz w:val="28"/>
          <w:szCs w:val="28"/>
        </w:rPr>
      </w:pPr>
      <w:r>
        <w:rPr>
          <w:rFonts w:hint="eastAsia" w:ascii="宋体" w:hAnsi="宋体" w:cs="宋体"/>
          <w:b/>
          <w:bCs/>
          <w:sz w:val="28"/>
          <w:szCs w:val="28"/>
        </w:rPr>
        <w:t xml:space="preserve">第二十五条 </w:t>
      </w:r>
      <w:r>
        <w:rPr>
          <w:rFonts w:hint="eastAsia" w:ascii="宋体" w:hAnsi="宋体" w:cs="宋体"/>
          <w:bCs/>
          <w:sz w:val="28"/>
          <w:szCs w:val="28"/>
        </w:rPr>
        <w:t>资信评定结果通报各会员单位，记入土地评估机构信用档案，并通过媒体和省协会网站向社会公布。</w:t>
      </w:r>
    </w:p>
    <w:p>
      <w:pPr>
        <w:spacing w:line="560" w:lineRule="exact"/>
        <w:ind w:firstLine="560" w:firstLineChars="200"/>
        <w:rPr>
          <w:rFonts w:ascii="宋体" w:hAnsi="宋体" w:cs="宋体"/>
          <w:bCs/>
          <w:sz w:val="28"/>
          <w:szCs w:val="28"/>
        </w:rPr>
      </w:pPr>
      <w:r>
        <w:rPr>
          <w:rFonts w:hint="eastAsia" w:ascii="宋体" w:hAnsi="宋体" w:cs="宋体"/>
          <w:bCs/>
          <w:sz w:val="28"/>
          <w:szCs w:val="28"/>
        </w:rPr>
        <w:t>省协会根据情况报省自然资源厅、中国土地估价师与土地登记代理人协会，抄送各市、县自然资源主管部门。</w:t>
      </w:r>
    </w:p>
    <w:p>
      <w:pPr>
        <w:spacing w:line="560" w:lineRule="exact"/>
        <w:ind w:firstLine="562" w:firstLineChars="200"/>
        <w:rPr>
          <w:rFonts w:ascii="宋体" w:hAnsi="宋体" w:cs="宋体"/>
          <w:bCs/>
          <w:sz w:val="28"/>
          <w:szCs w:val="28"/>
        </w:rPr>
      </w:pPr>
      <w:r>
        <w:rPr>
          <w:rFonts w:hint="eastAsia" w:ascii="宋体" w:hAnsi="宋体" w:cs="宋体"/>
          <w:b/>
          <w:bCs/>
          <w:sz w:val="28"/>
          <w:szCs w:val="28"/>
        </w:rPr>
        <w:t>第二十六条</w:t>
      </w:r>
      <w:r>
        <w:rPr>
          <w:rFonts w:hint="eastAsia" w:ascii="宋体" w:hAnsi="宋体" w:cs="宋体"/>
          <w:bCs/>
          <w:sz w:val="28"/>
          <w:szCs w:val="28"/>
        </w:rPr>
        <w:t xml:space="preserve"> 资信证书载明的估价机构名称等事项发生变更的，估价机构应当于变更之日起30日内向省协会申请更换资信等级证书。</w:t>
      </w:r>
    </w:p>
    <w:p>
      <w:pPr>
        <w:spacing w:line="560" w:lineRule="exact"/>
        <w:ind w:firstLine="562" w:firstLineChars="200"/>
        <w:rPr>
          <w:rFonts w:ascii="宋体" w:hAnsi="宋体" w:cs="宋体"/>
          <w:bCs/>
          <w:sz w:val="28"/>
          <w:szCs w:val="28"/>
        </w:rPr>
      </w:pPr>
      <w:r>
        <w:rPr>
          <w:rFonts w:hint="eastAsia" w:ascii="宋体" w:hAnsi="宋体" w:cs="宋体"/>
          <w:b/>
          <w:bCs/>
          <w:sz w:val="28"/>
          <w:szCs w:val="28"/>
        </w:rPr>
        <w:t xml:space="preserve">第二十七条 </w:t>
      </w:r>
      <w:r>
        <w:rPr>
          <w:rFonts w:hint="eastAsia" w:ascii="宋体" w:hAnsi="宋体" w:cs="宋体"/>
          <w:bCs/>
          <w:sz w:val="28"/>
          <w:szCs w:val="28"/>
        </w:rPr>
        <w:t>资信等级证书遗失的，可以向省协会申请补办。</w:t>
      </w:r>
    </w:p>
    <w:p>
      <w:pPr>
        <w:spacing w:line="560" w:lineRule="exact"/>
        <w:ind w:firstLine="562" w:firstLineChars="200"/>
        <w:rPr>
          <w:rFonts w:ascii="宋体" w:hAnsi="宋体" w:cs="宋体"/>
          <w:bCs/>
          <w:sz w:val="28"/>
          <w:szCs w:val="28"/>
        </w:rPr>
      </w:pPr>
      <w:r>
        <w:rPr>
          <w:rFonts w:hint="eastAsia" w:ascii="宋体" w:hAnsi="宋体" w:cs="宋体"/>
          <w:b/>
          <w:bCs/>
          <w:sz w:val="28"/>
          <w:szCs w:val="28"/>
        </w:rPr>
        <w:t>第二十八条</w:t>
      </w:r>
      <w:r>
        <w:rPr>
          <w:rFonts w:hint="eastAsia" w:ascii="宋体" w:hAnsi="宋体" w:cs="宋体"/>
          <w:bCs/>
          <w:sz w:val="28"/>
          <w:szCs w:val="28"/>
        </w:rPr>
        <w:t xml:space="preserve"> 省协会秘书处负责保存相关材料，纸质材料保存期限不少于5年，电子材料保存期限不少于10年。</w:t>
      </w:r>
    </w:p>
    <w:p>
      <w:pPr>
        <w:spacing w:line="560" w:lineRule="exact"/>
        <w:ind w:firstLine="562" w:firstLineChars="200"/>
        <w:rPr>
          <w:rFonts w:ascii="宋体" w:hAnsi="宋体" w:cs="宋体"/>
          <w:bCs/>
          <w:sz w:val="28"/>
          <w:szCs w:val="28"/>
        </w:rPr>
      </w:pPr>
      <w:r>
        <w:rPr>
          <w:rFonts w:hint="eastAsia" w:ascii="宋体" w:hAnsi="宋体" w:cs="宋体"/>
          <w:b/>
          <w:bCs/>
          <w:sz w:val="28"/>
          <w:szCs w:val="28"/>
        </w:rPr>
        <w:t xml:space="preserve">第二十九条 </w:t>
      </w:r>
      <w:r>
        <w:rPr>
          <w:rFonts w:hint="eastAsia" w:ascii="宋体" w:hAnsi="宋体" w:cs="宋体"/>
          <w:bCs/>
          <w:sz w:val="28"/>
          <w:szCs w:val="28"/>
        </w:rPr>
        <w:t>估价机构分立的，原资信等级失效；估价机构合并的，以资信等级低的为准。</w:t>
      </w:r>
    </w:p>
    <w:p>
      <w:pPr>
        <w:spacing w:before="312" w:beforeLines="100" w:after="312" w:afterLines="100" w:line="560" w:lineRule="exact"/>
        <w:jc w:val="center"/>
        <w:rPr>
          <w:rFonts w:ascii="宋体" w:hAnsi="宋体" w:cs="宋体"/>
          <w:b/>
          <w:bCs/>
          <w:sz w:val="28"/>
          <w:szCs w:val="28"/>
        </w:rPr>
      </w:pPr>
    </w:p>
    <w:p>
      <w:pPr>
        <w:spacing w:before="312" w:beforeLines="100" w:after="312" w:afterLines="100" w:line="560" w:lineRule="exact"/>
        <w:jc w:val="center"/>
        <w:rPr>
          <w:rFonts w:ascii="宋体" w:hAnsi="宋体" w:cs="宋体"/>
          <w:b/>
          <w:bCs/>
          <w:sz w:val="30"/>
          <w:szCs w:val="30"/>
        </w:rPr>
      </w:pPr>
      <w:r>
        <w:rPr>
          <w:rFonts w:hint="eastAsia" w:ascii="宋体" w:hAnsi="宋体" w:cs="宋体"/>
          <w:b/>
          <w:bCs/>
          <w:sz w:val="30"/>
          <w:szCs w:val="30"/>
        </w:rPr>
        <w:t>第五章    监督管理</w:t>
      </w:r>
    </w:p>
    <w:p>
      <w:pPr>
        <w:spacing w:line="560" w:lineRule="exact"/>
        <w:ind w:firstLine="562" w:firstLineChars="200"/>
        <w:rPr>
          <w:rFonts w:ascii="宋体" w:hAnsi="宋体" w:cs="宋体"/>
          <w:sz w:val="28"/>
          <w:szCs w:val="28"/>
        </w:rPr>
      </w:pPr>
      <w:r>
        <w:rPr>
          <w:rFonts w:hint="eastAsia" w:ascii="宋体" w:hAnsi="宋体" w:cs="宋体"/>
          <w:b/>
          <w:sz w:val="28"/>
          <w:szCs w:val="28"/>
        </w:rPr>
        <w:t>第三十条</w:t>
      </w:r>
      <w:r>
        <w:rPr>
          <w:rFonts w:hint="eastAsia" w:ascii="宋体" w:hAnsi="宋体" w:cs="宋体"/>
          <w:sz w:val="28"/>
          <w:szCs w:val="28"/>
        </w:rPr>
        <w:t xml:space="preserve"> 资信评定工作人员应当遵守国家相关法律法规、协会章程和资信评定有关规定，认真负责、秉公办事、廉洁自律。</w:t>
      </w:r>
    </w:p>
    <w:p>
      <w:pPr>
        <w:spacing w:line="560" w:lineRule="exact"/>
        <w:ind w:firstLine="560" w:firstLineChars="200"/>
        <w:rPr>
          <w:rFonts w:ascii="宋体" w:hAnsi="宋体" w:cs="宋体"/>
          <w:bCs/>
          <w:sz w:val="28"/>
          <w:szCs w:val="28"/>
        </w:rPr>
      </w:pPr>
      <w:r>
        <w:rPr>
          <w:rFonts w:hint="eastAsia" w:ascii="宋体" w:hAnsi="宋体" w:cs="宋体"/>
          <w:sz w:val="28"/>
          <w:szCs w:val="28"/>
        </w:rPr>
        <w:t>资信评定工作人员与申请机构有利害关系的，应当回避；资信评定工作</w:t>
      </w:r>
      <w:r>
        <w:rPr>
          <w:rFonts w:hint="eastAsia" w:ascii="宋体" w:hAnsi="宋体" w:cs="宋体"/>
          <w:bCs/>
          <w:sz w:val="28"/>
          <w:szCs w:val="28"/>
        </w:rPr>
        <w:t>人员不得互查、互评；</w:t>
      </w:r>
      <w:r>
        <w:rPr>
          <w:rFonts w:hint="eastAsia" w:ascii="宋体" w:hAnsi="宋体" w:cs="宋体"/>
          <w:sz w:val="28"/>
          <w:szCs w:val="28"/>
        </w:rPr>
        <w:t>应当回避而未回避，</w:t>
      </w:r>
      <w:r>
        <w:rPr>
          <w:rFonts w:hint="eastAsia" w:ascii="宋体" w:hAnsi="宋体" w:cs="宋体"/>
          <w:bCs/>
          <w:sz w:val="28"/>
          <w:szCs w:val="28"/>
        </w:rPr>
        <w:t>互查、互评的，</w:t>
      </w:r>
      <w:r>
        <w:rPr>
          <w:rFonts w:hint="eastAsia" w:ascii="宋体" w:hAnsi="宋体" w:cs="宋体"/>
          <w:sz w:val="28"/>
          <w:szCs w:val="28"/>
        </w:rPr>
        <w:t>该资信评定工作人员的评价结果无效。</w:t>
      </w:r>
    </w:p>
    <w:p>
      <w:pPr>
        <w:spacing w:line="560" w:lineRule="exact"/>
        <w:ind w:firstLine="562" w:firstLineChars="200"/>
        <w:rPr>
          <w:rFonts w:ascii="宋体" w:hAnsi="宋体" w:cs="宋体"/>
          <w:sz w:val="28"/>
          <w:szCs w:val="28"/>
        </w:rPr>
      </w:pPr>
      <w:r>
        <w:rPr>
          <w:rFonts w:hint="eastAsia" w:ascii="宋体" w:hAnsi="宋体" w:cs="宋体"/>
          <w:b/>
          <w:bCs/>
          <w:sz w:val="28"/>
          <w:szCs w:val="28"/>
        </w:rPr>
        <w:t xml:space="preserve">第三十一条 </w:t>
      </w:r>
      <w:r>
        <w:rPr>
          <w:rFonts w:hint="eastAsia" w:ascii="宋体" w:hAnsi="宋体" w:cs="宋体"/>
          <w:sz w:val="28"/>
          <w:szCs w:val="28"/>
        </w:rPr>
        <w:t>资信评定工作</w:t>
      </w:r>
      <w:r>
        <w:rPr>
          <w:rFonts w:hint="eastAsia" w:ascii="宋体" w:hAnsi="宋体" w:cs="宋体"/>
          <w:bCs/>
          <w:sz w:val="28"/>
          <w:szCs w:val="28"/>
        </w:rPr>
        <w:t>人员签订</w:t>
      </w:r>
      <w:r>
        <w:rPr>
          <w:rFonts w:hint="eastAsia" w:ascii="宋体" w:hAnsi="宋体" w:cs="宋体"/>
          <w:b/>
          <w:bCs/>
          <w:sz w:val="28"/>
          <w:szCs w:val="28"/>
        </w:rPr>
        <w:t xml:space="preserve"> </w:t>
      </w:r>
      <w:r>
        <w:rPr>
          <w:rFonts w:hint="eastAsia" w:ascii="宋体" w:hAnsi="宋体" w:cs="宋体"/>
          <w:sz w:val="28"/>
          <w:szCs w:val="28"/>
        </w:rPr>
        <w:t>《河南省土地估价机构资信评定廉政和保密承诺书》（详见附件3），</w:t>
      </w:r>
      <w:r>
        <w:rPr>
          <w:rFonts w:hint="eastAsia" w:ascii="宋体" w:hAnsi="宋体" w:cs="宋体"/>
          <w:bCs/>
          <w:sz w:val="28"/>
          <w:szCs w:val="28"/>
        </w:rPr>
        <w:t>对资信评定工作中知悉的商业秘密、个人隐私予以保密</w:t>
      </w:r>
      <w:r>
        <w:rPr>
          <w:rFonts w:hint="eastAsia" w:ascii="宋体" w:hAnsi="宋体" w:cs="宋体"/>
          <w:sz w:val="28"/>
          <w:szCs w:val="28"/>
        </w:rPr>
        <w:t>。</w:t>
      </w:r>
    </w:p>
    <w:p>
      <w:pPr>
        <w:spacing w:line="560" w:lineRule="exact"/>
        <w:ind w:firstLine="562" w:firstLineChars="200"/>
        <w:rPr>
          <w:rFonts w:ascii="宋体" w:hAnsi="宋体" w:cs="宋体"/>
          <w:sz w:val="28"/>
          <w:szCs w:val="28"/>
        </w:rPr>
      </w:pPr>
      <w:r>
        <w:rPr>
          <w:rFonts w:hint="eastAsia" w:ascii="宋体" w:hAnsi="宋体" w:cs="宋体"/>
          <w:b/>
          <w:bCs/>
          <w:sz w:val="28"/>
          <w:szCs w:val="28"/>
        </w:rPr>
        <w:t xml:space="preserve">第三十二条 </w:t>
      </w:r>
      <w:r>
        <w:rPr>
          <w:rFonts w:hint="eastAsia" w:ascii="宋体" w:hAnsi="宋体" w:cs="宋体"/>
          <w:sz w:val="28"/>
          <w:szCs w:val="28"/>
        </w:rPr>
        <w:t>省协会收到资信评定工作人员涉嫌违反工作纪律投诉举报的，应当予以核实处理，情节严重的交相关部门处理。</w:t>
      </w:r>
    </w:p>
    <w:p>
      <w:pPr>
        <w:spacing w:line="560" w:lineRule="exact"/>
        <w:ind w:firstLine="562" w:firstLineChars="200"/>
        <w:rPr>
          <w:rFonts w:ascii="宋体" w:hAnsi="宋体" w:cs="宋体"/>
          <w:sz w:val="28"/>
          <w:szCs w:val="28"/>
        </w:rPr>
      </w:pPr>
      <w:r>
        <w:rPr>
          <w:rFonts w:hint="eastAsia" w:ascii="宋体" w:hAnsi="宋体" w:cs="宋体"/>
          <w:b/>
          <w:bCs/>
          <w:sz w:val="28"/>
          <w:szCs w:val="28"/>
        </w:rPr>
        <w:t xml:space="preserve">第三十三条 </w:t>
      </w:r>
      <w:r>
        <w:rPr>
          <w:rFonts w:hint="eastAsia" w:ascii="宋体" w:hAnsi="宋体" w:cs="宋体"/>
          <w:sz w:val="28"/>
          <w:szCs w:val="28"/>
        </w:rPr>
        <w:t>省协会发现有下列行为之一的，可分别给予警告、通报批评、降低资信等级、取消资信等级、1—3年内不得申请资信评定等处罚，处罚结果记入机构信用档案，并向社会公示：</w:t>
      </w:r>
    </w:p>
    <w:p>
      <w:pPr>
        <w:spacing w:line="560" w:lineRule="exact"/>
        <w:ind w:firstLine="560" w:firstLineChars="200"/>
        <w:rPr>
          <w:rFonts w:ascii="宋体" w:hAnsi="宋体" w:cs="宋体"/>
          <w:sz w:val="28"/>
          <w:szCs w:val="28"/>
        </w:rPr>
      </w:pPr>
      <w:r>
        <w:rPr>
          <w:rFonts w:hint="eastAsia" w:ascii="宋体" w:hAnsi="宋体" w:cs="宋体"/>
          <w:sz w:val="28"/>
          <w:szCs w:val="28"/>
        </w:rPr>
        <w:t>1.资信评定申报材料严重失实的；</w:t>
      </w:r>
    </w:p>
    <w:p>
      <w:pPr>
        <w:spacing w:line="560" w:lineRule="exact"/>
        <w:ind w:firstLine="560" w:firstLineChars="200"/>
        <w:rPr>
          <w:rFonts w:ascii="宋体" w:hAnsi="宋体" w:cs="宋体"/>
          <w:sz w:val="28"/>
          <w:szCs w:val="28"/>
        </w:rPr>
      </w:pPr>
      <w:r>
        <w:rPr>
          <w:rFonts w:hint="eastAsia" w:ascii="宋体" w:hAnsi="宋体" w:cs="宋体"/>
          <w:sz w:val="28"/>
          <w:szCs w:val="28"/>
        </w:rPr>
        <w:t>2.土地估价报告弄虚作假或有重大遗漏受到委托方投诉，经协会调查属实的、或引起司法纠纷且败诉；</w:t>
      </w:r>
    </w:p>
    <w:p>
      <w:pPr>
        <w:spacing w:line="560" w:lineRule="exact"/>
        <w:ind w:firstLine="560" w:firstLineChars="200"/>
        <w:rPr>
          <w:rFonts w:ascii="宋体" w:hAnsi="宋体" w:cs="宋体"/>
          <w:sz w:val="28"/>
          <w:szCs w:val="28"/>
        </w:rPr>
      </w:pPr>
      <w:r>
        <w:rPr>
          <w:rFonts w:hint="eastAsia" w:ascii="宋体" w:hAnsi="宋体" w:cs="宋体"/>
          <w:sz w:val="28"/>
          <w:szCs w:val="28"/>
        </w:rPr>
        <w:t>3.以恶性压价，支付回扣、虚假宣传，或者贬低诋毁其他评估机构等不当手段招揽业务的；</w:t>
      </w:r>
    </w:p>
    <w:p>
      <w:pPr>
        <w:spacing w:line="560" w:lineRule="exact"/>
        <w:ind w:firstLine="560" w:firstLineChars="200"/>
        <w:rPr>
          <w:rFonts w:ascii="宋体" w:hAnsi="宋体" w:cs="宋体"/>
          <w:sz w:val="28"/>
          <w:szCs w:val="28"/>
        </w:rPr>
      </w:pPr>
      <w:r>
        <w:rPr>
          <w:rFonts w:hint="eastAsia" w:ascii="宋体" w:hAnsi="宋体" w:cs="宋体"/>
          <w:sz w:val="28"/>
          <w:szCs w:val="28"/>
        </w:rPr>
        <w:t>4利用开展业务之便，谋取不正当利益的；</w:t>
      </w:r>
    </w:p>
    <w:p>
      <w:pPr>
        <w:spacing w:line="560" w:lineRule="exact"/>
        <w:ind w:firstLine="560" w:firstLineChars="200"/>
        <w:rPr>
          <w:rFonts w:ascii="宋体" w:hAnsi="宋体" w:cs="宋体"/>
          <w:sz w:val="28"/>
          <w:szCs w:val="28"/>
        </w:rPr>
      </w:pPr>
      <w:r>
        <w:rPr>
          <w:rFonts w:hint="eastAsia" w:ascii="宋体" w:hAnsi="宋体" w:cs="宋体"/>
          <w:sz w:val="28"/>
          <w:szCs w:val="28"/>
        </w:rPr>
        <w:t>5.允许其他机构以本机构名义开展业务，或者冒用其他机构名义开展业务的；</w:t>
      </w:r>
    </w:p>
    <w:p>
      <w:pPr>
        <w:spacing w:line="560" w:lineRule="exact"/>
        <w:ind w:firstLine="560" w:firstLineChars="200"/>
        <w:rPr>
          <w:rFonts w:ascii="宋体" w:hAnsi="宋体" w:cs="宋体"/>
          <w:sz w:val="28"/>
          <w:szCs w:val="28"/>
        </w:rPr>
      </w:pPr>
      <w:r>
        <w:rPr>
          <w:rFonts w:hint="eastAsia" w:ascii="宋体" w:hAnsi="宋体" w:cs="宋体"/>
          <w:sz w:val="28"/>
          <w:szCs w:val="28"/>
        </w:rPr>
        <w:t>6.受理与自身有利益关系的业务的；</w:t>
      </w:r>
    </w:p>
    <w:p>
      <w:pPr>
        <w:spacing w:line="560" w:lineRule="exact"/>
        <w:ind w:firstLine="560" w:firstLineChars="200"/>
        <w:rPr>
          <w:rFonts w:ascii="宋体" w:hAnsi="宋体" w:cs="宋体"/>
          <w:sz w:val="28"/>
          <w:szCs w:val="28"/>
        </w:rPr>
      </w:pPr>
      <w:r>
        <w:rPr>
          <w:rFonts w:hint="eastAsia" w:ascii="宋体" w:hAnsi="宋体" w:cs="宋体"/>
          <w:sz w:val="28"/>
          <w:szCs w:val="28"/>
        </w:rPr>
        <w:t>7.分别接受利益冲突双方的委托，对同一评估对象进行评估的；</w:t>
      </w:r>
    </w:p>
    <w:p>
      <w:pPr>
        <w:spacing w:line="560" w:lineRule="exact"/>
        <w:ind w:firstLine="560" w:firstLineChars="200"/>
        <w:rPr>
          <w:rFonts w:ascii="宋体" w:hAnsi="宋体" w:cs="宋体"/>
          <w:sz w:val="28"/>
          <w:szCs w:val="28"/>
        </w:rPr>
      </w:pPr>
      <w:r>
        <w:rPr>
          <w:rFonts w:hint="eastAsia" w:ascii="宋体" w:hAnsi="宋体" w:cs="宋体"/>
          <w:sz w:val="28"/>
          <w:szCs w:val="28"/>
        </w:rPr>
        <w:t>8.未按《资产评估法》规定的期限保存评估档案的；</w:t>
      </w:r>
    </w:p>
    <w:p>
      <w:pPr>
        <w:spacing w:line="560" w:lineRule="exact"/>
        <w:ind w:firstLine="560" w:firstLineChars="200"/>
        <w:rPr>
          <w:rFonts w:ascii="宋体" w:hAnsi="宋体" w:cs="宋体"/>
          <w:sz w:val="28"/>
          <w:szCs w:val="28"/>
        </w:rPr>
      </w:pPr>
      <w:r>
        <w:rPr>
          <w:rFonts w:hint="eastAsia" w:ascii="宋体" w:hAnsi="宋体" w:cs="宋体"/>
          <w:sz w:val="28"/>
          <w:szCs w:val="28"/>
        </w:rPr>
        <w:t>9.聘用或者指定不符合《资产评估法》规定的人员从事评估业务或对本机构的评估专业人员疏于管理，造成不良后果的；</w:t>
      </w:r>
    </w:p>
    <w:p>
      <w:pPr>
        <w:spacing w:line="560" w:lineRule="exact"/>
        <w:ind w:firstLine="560" w:firstLineChars="200"/>
        <w:rPr>
          <w:rFonts w:ascii="宋体" w:hAnsi="宋体" w:cs="宋体"/>
          <w:sz w:val="28"/>
          <w:szCs w:val="28"/>
        </w:rPr>
      </w:pPr>
      <w:r>
        <w:rPr>
          <w:rFonts w:hint="eastAsia" w:ascii="宋体" w:hAnsi="宋体" w:cs="宋体"/>
          <w:sz w:val="28"/>
          <w:szCs w:val="28"/>
        </w:rPr>
        <w:t>10.贿赂、威胁资信评定工作人员的；</w:t>
      </w:r>
    </w:p>
    <w:p>
      <w:pPr>
        <w:spacing w:line="560" w:lineRule="exact"/>
        <w:ind w:firstLine="560" w:firstLineChars="200"/>
        <w:rPr>
          <w:rFonts w:ascii="宋体" w:hAnsi="宋体" w:cs="宋体"/>
          <w:sz w:val="28"/>
          <w:szCs w:val="28"/>
        </w:rPr>
      </w:pPr>
      <w:r>
        <w:rPr>
          <w:rFonts w:hint="eastAsia" w:ascii="宋体" w:hAnsi="宋体" w:cs="宋体"/>
          <w:sz w:val="28"/>
          <w:szCs w:val="28"/>
        </w:rPr>
        <w:t>11.严重干扰资信评定工作的；</w:t>
      </w:r>
    </w:p>
    <w:p>
      <w:pPr>
        <w:spacing w:line="560" w:lineRule="exact"/>
        <w:ind w:firstLine="560" w:firstLineChars="200"/>
        <w:rPr>
          <w:rFonts w:ascii="宋体" w:hAnsi="宋体" w:cs="宋体"/>
          <w:sz w:val="28"/>
          <w:szCs w:val="28"/>
        </w:rPr>
      </w:pPr>
      <w:r>
        <w:rPr>
          <w:rFonts w:hint="eastAsia" w:ascii="宋体" w:hAnsi="宋体" w:cs="宋体"/>
          <w:sz w:val="28"/>
          <w:szCs w:val="28"/>
        </w:rPr>
        <w:t>12.有其他严重不良行为的。</w:t>
      </w:r>
    </w:p>
    <w:p>
      <w:pPr>
        <w:spacing w:line="560" w:lineRule="exact"/>
        <w:rPr>
          <w:rFonts w:ascii="宋体" w:hAnsi="宋体" w:cs="宋体"/>
          <w:sz w:val="28"/>
          <w:szCs w:val="28"/>
        </w:rPr>
      </w:pPr>
      <w:r>
        <w:rPr>
          <w:rFonts w:hint="eastAsia" w:ascii="宋体" w:hAnsi="宋体" w:cs="宋体"/>
          <w:sz w:val="28"/>
          <w:szCs w:val="28"/>
        </w:rPr>
        <w:t xml:space="preserve">    </w:t>
      </w:r>
      <w:r>
        <w:rPr>
          <w:rFonts w:hint="eastAsia" w:ascii="宋体" w:hAnsi="宋体" w:cs="宋体"/>
          <w:b/>
          <w:bCs/>
          <w:sz w:val="28"/>
          <w:szCs w:val="28"/>
        </w:rPr>
        <w:t xml:space="preserve">第三十四条  </w:t>
      </w:r>
      <w:r>
        <w:rPr>
          <w:rFonts w:hint="eastAsia" w:ascii="宋体" w:hAnsi="宋体" w:cs="宋体"/>
          <w:sz w:val="28"/>
          <w:szCs w:val="28"/>
        </w:rPr>
        <w:t>参评机构对资信评定结果有异议的，向省协会秘书处提出书面申请，由省协会专业规划与发展委员会组织人员复审，并将复审结果告知异议人。</w:t>
      </w:r>
    </w:p>
    <w:p>
      <w:pPr>
        <w:spacing w:before="312" w:beforeLines="100" w:after="312" w:afterLines="100" w:line="560" w:lineRule="exact"/>
        <w:jc w:val="center"/>
        <w:rPr>
          <w:rFonts w:ascii="宋体" w:hAnsi="宋体" w:cs="宋体"/>
          <w:b/>
          <w:bCs/>
          <w:sz w:val="28"/>
          <w:szCs w:val="28"/>
        </w:rPr>
      </w:pPr>
    </w:p>
    <w:p>
      <w:pPr>
        <w:spacing w:before="312" w:beforeLines="100" w:after="312" w:afterLines="100" w:line="560" w:lineRule="exact"/>
        <w:jc w:val="center"/>
        <w:rPr>
          <w:rFonts w:ascii="宋体" w:hAnsi="宋体" w:cs="宋体"/>
          <w:b/>
          <w:bCs/>
          <w:sz w:val="28"/>
          <w:szCs w:val="28"/>
        </w:rPr>
      </w:pPr>
    </w:p>
    <w:p>
      <w:pPr>
        <w:spacing w:before="312" w:beforeLines="100" w:after="312" w:afterLines="100" w:line="560" w:lineRule="exact"/>
        <w:jc w:val="center"/>
        <w:rPr>
          <w:rFonts w:ascii="宋体" w:hAnsi="宋体" w:cs="宋体"/>
          <w:b/>
          <w:bCs/>
          <w:sz w:val="32"/>
          <w:szCs w:val="32"/>
        </w:rPr>
      </w:pPr>
      <w:r>
        <w:rPr>
          <w:rFonts w:hint="eastAsia" w:ascii="宋体" w:hAnsi="宋体" w:cs="宋体"/>
          <w:b/>
          <w:bCs/>
          <w:sz w:val="32"/>
          <w:szCs w:val="32"/>
        </w:rPr>
        <w:t>第六章      附则</w:t>
      </w:r>
    </w:p>
    <w:p>
      <w:pPr>
        <w:spacing w:line="560" w:lineRule="exact"/>
        <w:ind w:firstLine="570"/>
        <w:rPr>
          <w:rFonts w:ascii="宋体" w:hAnsi="宋体" w:cs="宋体"/>
          <w:b/>
          <w:sz w:val="28"/>
          <w:szCs w:val="28"/>
        </w:rPr>
      </w:pPr>
      <w:r>
        <w:rPr>
          <w:rFonts w:hint="eastAsia" w:ascii="宋体" w:hAnsi="宋体" w:cs="宋体"/>
          <w:b/>
          <w:sz w:val="28"/>
          <w:szCs w:val="28"/>
        </w:rPr>
        <w:t>第三十五条  附件</w:t>
      </w:r>
    </w:p>
    <w:p>
      <w:pPr>
        <w:spacing w:line="560" w:lineRule="exact"/>
        <w:ind w:firstLine="570"/>
        <w:rPr>
          <w:rFonts w:ascii="宋体" w:hAnsi="宋体" w:cs="宋体"/>
          <w:b/>
          <w:sz w:val="28"/>
          <w:szCs w:val="28"/>
        </w:rPr>
      </w:pPr>
      <w:r>
        <w:rPr>
          <w:rFonts w:hint="eastAsia" w:ascii="宋体" w:hAnsi="宋体" w:cs="宋体"/>
          <w:sz w:val="28"/>
          <w:szCs w:val="28"/>
        </w:rPr>
        <w:t>附件1《河南省土地估价机构资信评定申请表》及《填表说明》</w:t>
      </w:r>
    </w:p>
    <w:p>
      <w:pPr>
        <w:spacing w:line="560" w:lineRule="exact"/>
        <w:ind w:firstLine="560" w:firstLineChars="200"/>
        <w:rPr>
          <w:rFonts w:ascii="宋体" w:hAnsi="宋体" w:cs="宋体"/>
          <w:sz w:val="28"/>
          <w:szCs w:val="28"/>
        </w:rPr>
      </w:pPr>
      <w:r>
        <w:rPr>
          <w:rFonts w:hint="eastAsia" w:ascii="宋体" w:hAnsi="宋体" w:cs="宋体"/>
          <w:sz w:val="28"/>
          <w:szCs w:val="28"/>
        </w:rPr>
        <w:t>附件2《河南省土地估价机构资信评定评分标准》</w:t>
      </w:r>
    </w:p>
    <w:p>
      <w:pPr>
        <w:spacing w:line="560" w:lineRule="exact"/>
        <w:ind w:firstLine="560" w:firstLineChars="200"/>
        <w:rPr>
          <w:rFonts w:ascii="宋体" w:hAnsi="宋体" w:cs="宋体"/>
          <w:sz w:val="28"/>
          <w:szCs w:val="28"/>
        </w:rPr>
      </w:pPr>
      <w:r>
        <w:rPr>
          <w:rFonts w:hint="eastAsia" w:ascii="宋体" w:hAnsi="宋体" w:cs="宋体"/>
          <w:sz w:val="28"/>
          <w:szCs w:val="28"/>
        </w:rPr>
        <w:t>附件3《河南省土地估价机构资信评定廉政和保密承诺书》</w:t>
      </w:r>
    </w:p>
    <w:p>
      <w:pPr>
        <w:spacing w:line="560" w:lineRule="exact"/>
        <w:ind w:firstLine="562" w:firstLineChars="200"/>
        <w:rPr>
          <w:rFonts w:ascii="宋体" w:hAnsi="宋体" w:cs="宋体"/>
          <w:b/>
          <w:sz w:val="28"/>
          <w:szCs w:val="28"/>
        </w:rPr>
      </w:pPr>
      <w:r>
        <w:rPr>
          <w:rFonts w:hint="eastAsia" w:ascii="宋体" w:hAnsi="宋体" w:cs="宋体"/>
          <w:b/>
          <w:sz w:val="28"/>
          <w:szCs w:val="28"/>
        </w:rPr>
        <w:t xml:space="preserve">第三十六条  </w:t>
      </w:r>
      <w:r>
        <w:rPr>
          <w:rFonts w:hint="eastAsia" w:ascii="宋体" w:hAnsi="宋体" w:cs="宋体"/>
          <w:bCs/>
          <w:sz w:val="28"/>
          <w:szCs w:val="28"/>
        </w:rPr>
        <w:t>本细则由河南省土地估价师协会负责解释。</w:t>
      </w:r>
    </w:p>
    <w:p>
      <w:pPr>
        <w:spacing w:line="560" w:lineRule="exact"/>
        <w:ind w:firstLine="562" w:firstLineChars="200"/>
        <w:rPr>
          <w:rFonts w:ascii="宋体" w:hAnsi="宋体" w:cs="宋体"/>
          <w:sz w:val="28"/>
          <w:szCs w:val="28"/>
        </w:rPr>
      </w:pPr>
      <w:r>
        <w:rPr>
          <w:rFonts w:hint="eastAsia" w:ascii="宋体" w:hAnsi="宋体" w:cs="宋体"/>
          <w:b/>
          <w:sz w:val="28"/>
          <w:szCs w:val="28"/>
        </w:rPr>
        <w:t xml:space="preserve">第三十七条  </w:t>
      </w:r>
      <w:r>
        <w:rPr>
          <w:rFonts w:hint="eastAsia" w:ascii="宋体" w:hAnsi="宋体" w:cs="宋体"/>
          <w:sz w:val="28"/>
          <w:szCs w:val="28"/>
        </w:rPr>
        <w:t>本细则自公布之日起施行。</w:t>
      </w:r>
    </w:p>
    <w:p>
      <w:pPr>
        <w:spacing w:line="560" w:lineRule="exact"/>
        <w:ind w:firstLine="560" w:firstLineChars="200"/>
        <w:rPr>
          <w:rFonts w:ascii="宋体" w:hAnsi="宋体" w:cs="宋体"/>
          <w:sz w:val="28"/>
          <w:szCs w:val="28"/>
        </w:rPr>
      </w:pPr>
    </w:p>
    <w:p>
      <w:pPr>
        <w:spacing w:line="560" w:lineRule="exact"/>
        <w:ind w:firstLine="560" w:firstLineChars="200"/>
        <w:rPr>
          <w:rFonts w:ascii="宋体" w:hAnsi="宋体" w:cs="宋体"/>
          <w:sz w:val="28"/>
          <w:szCs w:val="28"/>
        </w:rPr>
      </w:pPr>
    </w:p>
    <w:p>
      <w:pPr>
        <w:spacing w:line="560" w:lineRule="exact"/>
        <w:ind w:firstLine="560" w:firstLineChars="200"/>
        <w:rPr>
          <w:rFonts w:ascii="宋体" w:hAnsi="宋体" w:cs="宋体"/>
          <w:sz w:val="28"/>
          <w:szCs w:val="28"/>
        </w:rPr>
      </w:pPr>
    </w:p>
    <w:p>
      <w:pPr>
        <w:spacing w:line="560" w:lineRule="exact"/>
        <w:ind w:firstLine="560" w:firstLineChars="200"/>
        <w:rPr>
          <w:rFonts w:ascii="宋体" w:hAnsi="宋体" w:cs="宋体"/>
          <w:sz w:val="28"/>
          <w:szCs w:val="28"/>
        </w:rPr>
      </w:pPr>
    </w:p>
    <w:p>
      <w:pPr>
        <w:spacing w:line="560" w:lineRule="exact"/>
        <w:ind w:firstLine="560" w:firstLineChars="200"/>
        <w:rPr>
          <w:rFonts w:ascii="宋体" w:hAnsi="宋体" w:cs="宋体"/>
          <w:sz w:val="28"/>
          <w:szCs w:val="28"/>
        </w:rPr>
      </w:pPr>
    </w:p>
    <w:p>
      <w:pPr>
        <w:spacing w:line="560" w:lineRule="exact"/>
        <w:ind w:firstLine="560" w:firstLineChars="200"/>
        <w:rPr>
          <w:rFonts w:ascii="宋体" w:hAnsi="宋体" w:cs="宋体"/>
          <w:sz w:val="28"/>
          <w:szCs w:val="28"/>
        </w:rPr>
      </w:pPr>
    </w:p>
    <w:p>
      <w:pPr>
        <w:spacing w:line="560" w:lineRule="exact"/>
        <w:ind w:firstLine="560" w:firstLineChars="200"/>
        <w:rPr>
          <w:rFonts w:ascii="宋体" w:hAnsi="宋体" w:cs="宋体"/>
          <w:sz w:val="28"/>
          <w:szCs w:val="28"/>
        </w:rPr>
      </w:pPr>
    </w:p>
    <w:p>
      <w:pPr>
        <w:spacing w:line="560" w:lineRule="exact"/>
        <w:ind w:firstLine="560" w:firstLineChars="200"/>
        <w:rPr>
          <w:rFonts w:ascii="宋体" w:hAnsi="宋体" w:cs="宋体"/>
          <w:sz w:val="28"/>
          <w:szCs w:val="28"/>
        </w:rPr>
      </w:pPr>
    </w:p>
    <w:p>
      <w:pPr>
        <w:spacing w:line="560" w:lineRule="exact"/>
        <w:ind w:firstLine="560" w:firstLineChars="200"/>
        <w:rPr>
          <w:rFonts w:ascii="宋体" w:hAnsi="宋体" w:cs="宋体"/>
          <w:sz w:val="28"/>
          <w:szCs w:val="28"/>
        </w:rPr>
      </w:pPr>
    </w:p>
    <w:p>
      <w:pPr>
        <w:spacing w:line="560" w:lineRule="exact"/>
        <w:ind w:firstLine="560" w:firstLineChars="200"/>
        <w:rPr>
          <w:rFonts w:ascii="宋体" w:hAnsi="宋体" w:cs="宋体"/>
          <w:sz w:val="28"/>
          <w:szCs w:val="28"/>
        </w:rPr>
      </w:pPr>
    </w:p>
    <w:p>
      <w:pPr>
        <w:spacing w:line="560" w:lineRule="exact"/>
        <w:ind w:firstLine="560" w:firstLineChars="200"/>
        <w:rPr>
          <w:rFonts w:ascii="宋体" w:hAnsi="宋体" w:cs="宋体"/>
          <w:sz w:val="28"/>
          <w:szCs w:val="28"/>
        </w:rPr>
      </w:pPr>
    </w:p>
    <w:p>
      <w:pPr>
        <w:spacing w:line="560" w:lineRule="exact"/>
        <w:ind w:firstLine="560" w:firstLineChars="200"/>
        <w:rPr>
          <w:rFonts w:ascii="宋体" w:hAnsi="宋体" w:cs="宋体"/>
          <w:sz w:val="28"/>
          <w:szCs w:val="28"/>
        </w:rPr>
      </w:pPr>
    </w:p>
    <w:p>
      <w:pPr>
        <w:spacing w:line="560" w:lineRule="exact"/>
        <w:ind w:firstLine="560" w:firstLineChars="200"/>
        <w:rPr>
          <w:rFonts w:ascii="宋体" w:hAnsi="宋体" w:cs="宋体"/>
          <w:sz w:val="28"/>
          <w:szCs w:val="28"/>
        </w:rPr>
      </w:pPr>
    </w:p>
    <w:p>
      <w:pPr>
        <w:spacing w:line="560" w:lineRule="exact"/>
        <w:ind w:firstLine="560" w:firstLineChars="200"/>
        <w:rPr>
          <w:rFonts w:ascii="宋体" w:hAnsi="宋体" w:cs="宋体"/>
          <w:sz w:val="28"/>
          <w:szCs w:val="28"/>
        </w:rPr>
      </w:pPr>
    </w:p>
    <w:p>
      <w:pPr>
        <w:spacing w:line="560" w:lineRule="exact"/>
        <w:ind w:firstLine="560" w:firstLineChars="200"/>
        <w:rPr>
          <w:rFonts w:ascii="宋体" w:hAnsi="宋体" w:cs="宋体"/>
          <w:sz w:val="28"/>
          <w:szCs w:val="28"/>
        </w:rPr>
      </w:pPr>
    </w:p>
    <w:p>
      <w:pPr>
        <w:spacing w:line="560" w:lineRule="exact"/>
        <w:ind w:firstLine="560" w:firstLineChars="200"/>
        <w:rPr>
          <w:rFonts w:ascii="宋体" w:hAnsi="宋体" w:cs="宋体"/>
          <w:sz w:val="28"/>
          <w:szCs w:val="28"/>
        </w:rPr>
      </w:pPr>
    </w:p>
    <w:p>
      <w:pPr>
        <w:spacing w:line="560" w:lineRule="exact"/>
        <w:rPr>
          <w:rFonts w:ascii="宋体" w:hAnsi="宋体" w:cs="宋体"/>
          <w:sz w:val="28"/>
          <w:szCs w:val="28"/>
        </w:rPr>
      </w:pPr>
    </w:p>
    <w:p>
      <w:pPr>
        <w:spacing w:line="560" w:lineRule="exact"/>
        <w:rPr>
          <w:rFonts w:ascii="宋体" w:hAnsi="宋体" w:cs="宋体"/>
          <w:sz w:val="28"/>
          <w:szCs w:val="28"/>
        </w:rPr>
      </w:pPr>
    </w:p>
    <w:tbl>
      <w:tblPr>
        <w:tblStyle w:val="8"/>
        <w:tblW w:w="8897" w:type="dxa"/>
        <w:tblInd w:w="0" w:type="dxa"/>
        <w:tblLayout w:type="fixed"/>
        <w:tblCellMar>
          <w:top w:w="0" w:type="dxa"/>
          <w:left w:w="108" w:type="dxa"/>
          <w:bottom w:w="0" w:type="dxa"/>
          <w:right w:w="108" w:type="dxa"/>
        </w:tblCellMar>
      </w:tblPr>
      <w:tblGrid>
        <w:gridCol w:w="2415"/>
        <w:gridCol w:w="1920"/>
        <w:gridCol w:w="2290"/>
        <w:gridCol w:w="6"/>
        <w:gridCol w:w="2266"/>
      </w:tblGrid>
      <w:tr>
        <w:tblPrEx>
          <w:tblCellMar>
            <w:top w:w="0" w:type="dxa"/>
            <w:left w:w="108" w:type="dxa"/>
            <w:bottom w:w="0" w:type="dxa"/>
            <w:right w:w="108" w:type="dxa"/>
          </w:tblCellMar>
        </w:tblPrEx>
        <w:trPr>
          <w:trHeight w:val="736" w:hRule="atLeast"/>
        </w:trPr>
        <w:tc>
          <w:tcPr>
            <w:tcW w:w="8897" w:type="dxa"/>
            <w:gridSpan w:val="5"/>
            <w:tcBorders>
              <w:top w:val="nil"/>
              <w:left w:val="nil"/>
              <w:bottom w:val="nil"/>
              <w:right w:val="nil"/>
            </w:tcBorders>
            <w:noWrap/>
            <w:vAlign w:val="center"/>
          </w:tcPr>
          <w:p>
            <w:pPr>
              <w:rPr>
                <w:rFonts w:ascii="宋体" w:hAnsi="宋体" w:cs="宋体"/>
                <w:kern w:val="0"/>
                <w:szCs w:val="21"/>
              </w:rPr>
            </w:pPr>
            <w:r>
              <w:rPr>
                <w:rFonts w:hint="eastAsia" w:ascii="宋体" w:hAnsi="宋体" w:cs="宋体"/>
                <w:szCs w:val="21"/>
              </w:rPr>
              <w:t>附件1</w:t>
            </w:r>
          </w:p>
          <w:p>
            <w:pPr>
              <w:widowControl/>
              <w:jc w:val="center"/>
              <w:rPr>
                <w:rFonts w:ascii="宋体" w:hAnsi="宋体" w:cs="宋体"/>
                <w:kern w:val="0"/>
                <w:sz w:val="36"/>
                <w:szCs w:val="36"/>
              </w:rPr>
            </w:pPr>
            <w:r>
              <w:rPr>
                <w:rFonts w:hint="eastAsia" w:ascii="宋体" w:hAnsi="宋体" w:cs="宋体"/>
                <w:kern w:val="0"/>
                <w:sz w:val="36"/>
                <w:szCs w:val="36"/>
              </w:rPr>
              <w:t>河南省土地估价机构资信评定申请表</w:t>
            </w:r>
          </w:p>
        </w:tc>
      </w:tr>
      <w:tr>
        <w:tblPrEx>
          <w:tblCellMar>
            <w:top w:w="0" w:type="dxa"/>
            <w:left w:w="108" w:type="dxa"/>
            <w:bottom w:w="0" w:type="dxa"/>
            <w:right w:w="108" w:type="dxa"/>
          </w:tblCellMar>
        </w:tblPrEx>
        <w:trPr>
          <w:trHeight w:val="505" w:hRule="atLeast"/>
        </w:trPr>
        <w:tc>
          <w:tcPr>
            <w:tcW w:w="2415" w:type="dxa"/>
            <w:tcBorders>
              <w:top w:val="single" w:color="auto" w:sz="8" w:space="0"/>
              <w:left w:val="single" w:color="auto" w:sz="8" w:space="0"/>
              <w:bottom w:val="single" w:color="auto" w:sz="4" w:space="0"/>
              <w:right w:val="single" w:color="auto" w:sz="4" w:space="0"/>
            </w:tcBorders>
            <w:vAlign w:val="center"/>
          </w:tcPr>
          <w:p>
            <w:pPr>
              <w:widowControl/>
              <w:spacing w:line="300" w:lineRule="exact"/>
              <w:jc w:val="center"/>
              <w:rPr>
                <w:rFonts w:ascii="宋体" w:hAnsi="宋体" w:cs="宋体"/>
                <w:kern w:val="0"/>
                <w:sz w:val="24"/>
              </w:rPr>
            </w:pPr>
            <w:r>
              <w:rPr>
                <w:rFonts w:hint="eastAsia" w:ascii="宋体" w:hAnsi="宋体" w:cs="宋体"/>
                <w:kern w:val="0"/>
                <w:sz w:val="24"/>
              </w:rPr>
              <w:t>机构名称</w:t>
            </w:r>
          </w:p>
        </w:tc>
        <w:tc>
          <w:tcPr>
            <w:tcW w:w="1920" w:type="dxa"/>
            <w:tcBorders>
              <w:top w:val="single" w:color="auto" w:sz="8" w:space="0"/>
              <w:left w:val="nil"/>
              <w:bottom w:val="single" w:color="auto" w:sz="4" w:space="0"/>
              <w:right w:val="single" w:color="auto" w:sz="4" w:space="0"/>
            </w:tcBorders>
            <w:noWrap/>
            <w:vAlign w:val="center"/>
          </w:tcPr>
          <w:p>
            <w:pPr>
              <w:widowControl/>
              <w:spacing w:line="300" w:lineRule="exact"/>
              <w:jc w:val="center"/>
              <w:rPr>
                <w:rFonts w:ascii="宋体" w:hAnsi="宋体" w:cs="宋体"/>
                <w:kern w:val="0"/>
                <w:sz w:val="24"/>
              </w:rPr>
            </w:pPr>
          </w:p>
        </w:tc>
        <w:tc>
          <w:tcPr>
            <w:tcW w:w="2296" w:type="dxa"/>
            <w:gridSpan w:val="2"/>
            <w:tcBorders>
              <w:top w:val="single" w:color="auto" w:sz="8" w:space="0"/>
              <w:left w:val="nil"/>
              <w:bottom w:val="single" w:color="auto" w:sz="4" w:space="0"/>
              <w:right w:val="single" w:color="auto" w:sz="4" w:space="0"/>
            </w:tcBorders>
            <w:vAlign w:val="center"/>
          </w:tcPr>
          <w:p>
            <w:pPr>
              <w:widowControl/>
              <w:spacing w:line="300" w:lineRule="exact"/>
              <w:jc w:val="center"/>
              <w:rPr>
                <w:rFonts w:ascii="宋体" w:hAnsi="宋体" w:cs="宋体"/>
                <w:kern w:val="0"/>
                <w:sz w:val="24"/>
              </w:rPr>
            </w:pPr>
            <w:r>
              <w:rPr>
                <w:rFonts w:hint="eastAsia" w:ascii="宋体" w:hAnsi="宋体" w:cs="宋体"/>
                <w:kern w:val="0"/>
                <w:sz w:val="24"/>
              </w:rPr>
              <w:t>法定代表人</w:t>
            </w:r>
          </w:p>
        </w:tc>
        <w:tc>
          <w:tcPr>
            <w:tcW w:w="2266" w:type="dxa"/>
            <w:tcBorders>
              <w:top w:val="single" w:color="auto" w:sz="8" w:space="0"/>
              <w:left w:val="nil"/>
              <w:bottom w:val="single" w:color="auto" w:sz="4" w:space="0"/>
              <w:right w:val="single" w:color="auto" w:sz="8" w:space="0"/>
            </w:tcBorders>
            <w:noWrap/>
            <w:vAlign w:val="center"/>
          </w:tcPr>
          <w:p>
            <w:pPr>
              <w:widowControl/>
              <w:spacing w:line="300" w:lineRule="exact"/>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507" w:hRule="atLeast"/>
        </w:trPr>
        <w:tc>
          <w:tcPr>
            <w:tcW w:w="2415" w:type="dxa"/>
            <w:tcBorders>
              <w:top w:val="nil"/>
              <w:left w:val="single" w:color="auto" w:sz="8" w:space="0"/>
              <w:bottom w:val="single" w:color="auto" w:sz="4" w:space="0"/>
              <w:right w:val="single" w:color="auto" w:sz="4" w:space="0"/>
            </w:tcBorders>
            <w:vAlign w:val="center"/>
          </w:tcPr>
          <w:p>
            <w:pPr>
              <w:widowControl/>
              <w:spacing w:line="300" w:lineRule="exact"/>
              <w:jc w:val="center"/>
              <w:rPr>
                <w:rFonts w:ascii="宋体" w:hAnsi="宋体" w:cs="宋体"/>
                <w:kern w:val="0"/>
                <w:sz w:val="24"/>
              </w:rPr>
            </w:pPr>
            <w:r>
              <w:rPr>
                <w:rFonts w:hint="eastAsia" w:ascii="宋体" w:hAnsi="宋体" w:cs="宋体"/>
                <w:kern w:val="0"/>
                <w:sz w:val="24"/>
              </w:rPr>
              <w:t>土地估价机构连续入会时间</w:t>
            </w:r>
          </w:p>
        </w:tc>
        <w:tc>
          <w:tcPr>
            <w:tcW w:w="1920" w:type="dxa"/>
            <w:tcBorders>
              <w:top w:val="nil"/>
              <w:left w:val="nil"/>
              <w:bottom w:val="single" w:color="auto" w:sz="4" w:space="0"/>
              <w:right w:val="single" w:color="auto" w:sz="4" w:space="0"/>
            </w:tcBorders>
            <w:noWrap/>
            <w:vAlign w:val="center"/>
          </w:tcPr>
          <w:p>
            <w:pPr>
              <w:widowControl/>
              <w:spacing w:line="300" w:lineRule="exact"/>
              <w:jc w:val="center"/>
              <w:rPr>
                <w:rFonts w:ascii="宋体" w:hAnsi="宋体" w:cs="宋体"/>
                <w:kern w:val="0"/>
                <w:sz w:val="24"/>
              </w:rPr>
            </w:pPr>
          </w:p>
        </w:tc>
        <w:tc>
          <w:tcPr>
            <w:tcW w:w="2296" w:type="dxa"/>
            <w:gridSpan w:val="2"/>
            <w:tcBorders>
              <w:top w:val="nil"/>
              <w:left w:val="nil"/>
              <w:bottom w:val="single" w:color="auto" w:sz="4" w:space="0"/>
              <w:right w:val="single" w:color="auto" w:sz="4" w:space="0"/>
            </w:tcBorders>
            <w:vAlign w:val="center"/>
          </w:tcPr>
          <w:p>
            <w:pPr>
              <w:widowControl/>
              <w:spacing w:line="300" w:lineRule="exact"/>
              <w:jc w:val="center"/>
              <w:rPr>
                <w:rFonts w:ascii="宋体" w:hAnsi="宋体" w:cs="宋体"/>
                <w:kern w:val="0"/>
                <w:sz w:val="24"/>
              </w:rPr>
            </w:pPr>
            <w:r>
              <w:rPr>
                <w:rFonts w:hint="eastAsia" w:ascii="宋体" w:hAnsi="宋体" w:cs="宋体"/>
                <w:kern w:val="0"/>
                <w:sz w:val="24"/>
              </w:rPr>
              <w:t>注册资金（万元）</w:t>
            </w:r>
          </w:p>
        </w:tc>
        <w:tc>
          <w:tcPr>
            <w:tcW w:w="2266" w:type="dxa"/>
            <w:tcBorders>
              <w:top w:val="nil"/>
              <w:left w:val="nil"/>
              <w:bottom w:val="single" w:color="auto" w:sz="4" w:space="0"/>
              <w:right w:val="single" w:color="auto" w:sz="8" w:space="0"/>
            </w:tcBorders>
            <w:noWrap/>
            <w:vAlign w:val="center"/>
          </w:tcPr>
          <w:p>
            <w:pPr>
              <w:widowControl/>
              <w:spacing w:line="300" w:lineRule="exact"/>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595" w:hRule="atLeast"/>
        </w:trPr>
        <w:tc>
          <w:tcPr>
            <w:tcW w:w="2415" w:type="dxa"/>
            <w:tcBorders>
              <w:top w:val="nil"/>
              <w:left w:val="single" w:color="auto" w:sz="8" w:space="0"/>
              <w:bottom w:val="single" w:color="auto" w:sz="4" w:space="0"/>
              <w:right w:val="single" w:color="auto" w:sz="4" w:space="0"/>
            </w:tcBorders>
            <w:vAlign w:val="center"/>
          </w:tcPr>
          <w:p>
            <w:pPr>
              <w:widowControl/>
              <w:spacing w:line="300" w:lineRule="exact"/>
              <w:jc w:val="center"/>
              <w:rPr>
                <w:rFonts w:ascii="宋体" w:hAnsi="宋体" w:cs="宋体"/>
                <w:kern w:val="0"/>
                <w:sz w:val="24"/>
              </w:rPr>
            </w:pPr>
            <w:r>
              <w:rPr>
                <w:rFonts w:hint="eastAsia" w:ascii="宋体" w:hAnsi="宋体" w:cs="宋体"/>
                <w:kern w:val="0"/>
                <w:sz w:val="24"/>
              </w:rPr>
              <w:t>机构备案号</w:t>
            </w:r>
          </w:p>
        </w:tc>
        <w:tc>
          <w:tcPr>
            <w:tcW w:w="1920" w:type="dxa"/>
            <w:tcBorders>
              <w:top w:val="nil"/>
              <w:left w:val="nil"/>
              <w:bottom w:val="single" w:color="auto" w:sz="4" w:space="0"/>
              <w:right w:val="single" w:color="auto" w:sz="4" w:space="0"/>
            </w:tcBorders>
            <w:noWrap/>
            <w:vAlign w:val="center"/>
          </w:tcPr>
          <w:p>
            <w:pPr>
              <w:widowControl/>
              <w:spacing w:line="300" w:lineRule="exact"/>
              <w:jc w:val="center"/>
              <w:rPr>
                <w:rFonts w:ascii="宋体" w:hAnsi="宋体" w:cs="宋体"/>
                <w:kern w:val="0"/>
                <w:sz w:val="24"/>
              </w:rPr>
            </w:pPr>
          </w:p>
        </w:tc>
        <w:tc>
          <w:tcPr>
            <w:tcW w:w="2296" w:type="dxa"/>
            <w:gridSpan w:val="2"/>
            <w:tcBorders>
              <w:top w:val="nil"/>
              <w:left w:val="nil"/>
              <w:bottom w:val="single" w:color="auto" w:sz="4" w:space="0"/>
              <w:right w:val="single" w:color="auto" w:sz="4" w:space="0"/>
            </w:tcBorders>
            <w:vAlign w:val="center"/>
          </w:tcPr>
          <w:p>
            <w:pPr>
              <w:widowControl/>
              <w:spacing w:line="300" w:lineRule="exact"/>
              <w:jc w:val="center"/>
              <w:rPr>
                <w:rFonts w:ascii="宋体" w:hAnsi="宋体" w:cs="宋体"/>
                <w:kern w:val="0"/>
                <w:sz w:val="24"/>
              </w:rPr>
            </w:pPr>
            <w:r>
              <w:rPr>
                <w:rFonts w:hint="eastAsia" w:ascii="宋体" w:hAnsi="宋体" w:cs="宋体"/>
                <w:kern w:val="0"/>
                <w:sz w:val="24"/>
              </w:rPr>
              <w:t>执业土地估价师</w:t>
            </w:r>
          </w:p>
          <w:p>
            <w:pPr>
              <w:widowControl/>
              <w:spacing w:line="300" w:lineRule="exact"/>
              <w:jc w:val="center"/>
              <w:rPr>
                <w:rFonts w:ascii="宋体" w:hAnsi="宋体" w:cs="宋体"/>
                <w:kern w:val="0"/>
                <w:sz w:val="24"/>
              </w:rPr>
            </w:pPr>
            <w:r>
              <w:rPr>
                <w:rFonts w:hint="eastAsia" w:ascii="宋体" w:hAnsi="宋体" w:cs="宋体"/>
                <w:kern w:val="0"/>
                <w:sz w:val="24"/>
              </w:rPr>
              <w:t>（人数）</w:t>
            </w:r>
          </w:p>
        </w:tc>
        <w:tc>
          <w:tcPr>
            <w:tcW w:w="2266" w:type="dxa"/>
            <w:tcBorders>
              <w:top w:val="nil"/>
              <w:left w:val="nil"/>
              <w:bottom w:val="single" w:color="auto" w:sz="4" w:space="0"/>
              <w:right w:val="single" w:color="auto" w:sz="8" w:space="0"/>
            </w:tcBorders>
            <w:noWrap/>
            <w:vAlign w:val="center"/>
          </w:tcPr>
          <w:p>
            <w:pPr>
              <w:widowControl/>
              <w:spacing w:line="300" w:lineRule="exact"/>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726" w:hRule="atLeast"/>
        </w:trPr>
        <w:tc>
          <w:tcPr>
            <w:tcW w:w="2415" w:type="dxa"/>
            <w:tcBorders>
              <w:top w:val="nil"/>
              <w:left w:val="single" w:color="auto" w:sz="8" w:space="0"/>
              <w:bottom w:val="single" w:color="auto" w:sz="4" w:space="0"/>
              <w:right w:val="single" w:color="auto" w:sz="4" w:space="0"/>
            </w:tcBorders>
            <w:vAlign w:val="center"/>
          </w:tcPr>
          <w:p>
            <w:pPr>
              <w:widowControl/>
              <w:spacing w:line="300" w:lineRule="exact"/>
              <w:jc w:val="center"/>
              <w:rPr>
                <w:rFonts w:ascii="宋体" w:hAnsi="宋体" w:cs="宋体"/>
                <w:kern w:val="0"/>
                <w:sz w:val="24"/>
              </w:rPr>
            </w:pPr>
            <w:r>
              <w:rPr>
                <w:rFonts w:hint="eastAsia" w:ascii="宋体" w:hAnsi="宋体" w:cs="宋体"/>
                <w:kern w:val="0"/>
                <w:sz w:val="24"/>
              </w:rPr>
              <w:t>法人是否是</w:t>
            </w:r>
          </w:p>
          <w:p>
            <w:pPr>
              <w:widowControl/>
              <w:spacing w:line="300" w:lineRule="exact"/>
              <w:jc w:val="center"/>
              <w:rPr>
                <w:rFonts w:ascii="宋体" w:hAnsi="宋体" w:cs="宋体"/>
                <w:kern w:val="0"/>
                <w:sz w:val="24"/>
              </w:rPr>
            </w:pPr>
            <w:r>
              <w:rPr>
                <w:rFonts w:hint="eastAsia" w:ascii="宋体" w:hAnsi="宋体" w:cs="宋体"/>
                <w:kern w:val="0"/>
                <w:sz w:val="24"/>
              </w:rPr>
              <w:t>土地估价师</w:t>
            </w:r>
          </w:p>
        </w:tc>
        <w:tc>
          <w:tcPr>
            <w:tcW w:w="1920" w:type="dxa"/>
            <w:tcBorders>
              <w:top w:val="nil"/>
              <w:left w:val="nil"/>
              <w:bottom w:val="single" w:color="auto" w:sz="4" w:space="0"/>
              <w:right w:val="single" w:color="auto" w:sz="4" w:space="0"/>
            </w:tcBorders>
            <w:noWrap/>
            <w:vAlign w:val="center"/>
          </w:tcPr>
          <w:p>
            <w:pPr>
              <w:widowControl/>
              <w:spacing w:line="300" w:lineRule="exact"/>
              <w:jc w:val="center"/>
              <w:rPr>
                <w:rFonts w:ascii="宋体" w:hAnsi="宋体" w:cs="宋体"/>
                <w:kern w:val="0"/>
                <w:sz w:val="24"/>
              </w:rPr>
            </w:pPr>
          </w:p>
        </w:tc>
        <w:tc>
          <w:tcPr>
            <w:tcW w:w="2296" w:type="dxa"/>
            <w:gridSpan w:val="2"/>
            <w:tcBorders>
              <w:top w:val="nil"/>
              <w:left w:val="nil"/>
              <w:bottom w:val="single" w:color="auto" w:sz="4" w:space="0"/>
              <w:right w:val="single" w:color="auto" w:sz="4" w:space="0"/>
            </w:tcBorders>
            <w:vAlign w:val="center"/>
          </w:tcPr>
          <w:p>
            <w:pPr>
              <w:widowControl/>
              <w:spacing w:line="300" w:lineRule="exact"/>
              <w:jc w:val="center"/>
              <w:rPr>
                <w:rFonts w:ascii="宋体" w:hAnsi="宋体" w:cs="宋体"/>
                <w:kern w:val="0"/>
                <w:sz w:val="24"/>
              </w:rPr>
            </w:pPr>
            <w:r>
              <w:rPr>
                <w:rFonts w:hint="eastAsia" w:ascii="宋体" w:hAnsi="宋体" w:cs="宋体"/>
                <w:kern w:val="0"/>
                <w:sz w:val="24"/>
              </w:rPr>
              <w:t>经营场地</w:t>
            </w:r>
          </w:p>
          <w:p>
            <w:pPr>
              <w:widowControl/>
              <w:spacing w:line="300" w:lineRule="exact"/>
              <w:jc w:val="center"/>
              <w:rPr>
                <w:rFonts w:ascii="宋体" w:hAnsi="宋体" w:cs="宋体"/>
                <w:kern w:val="0"/>
                <w:sz w:val="24"/>
              </w:rPr>
            </w:pPr>
            <w:r>
              <w:rPr>
                <w:rFonts w:hint="eastAsia" w:ascii="宋体" w:hAnsi="宋体" w:cs="宋体"/>
                <w:kern w:val="0"/>
                <w:sz w:val="24"/>
              </w:rPr>
              <w:t>（平方米）</w:t>
            </w:r>
          </w:p>
        </w:tc>
        <w:tc>
          <w:tcPr>
            <w:tcW w:w="2266" w:type="dxa"/>
            <w:tcBorders>
              <w:top w:val="nil"/>
              <w:left w:val="nil"/>
              <w:bottom w:val="single" w:color="auto" w:sz="4" w:space="0"/>
              <w:right w:val="single" w:color="auto" w:sz="8" w:space="0"/>
            </w:tcBorders>
            <w:noWrap/>
            <w:vAlign w:val="center"/>
          </w:tcPr>
          <w:p>
            <w:pPr>
              <w:widowControl/>
              <w:spacing w:line="300" w:lineRule="exact"/>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536" w:hRule="atLeast"/>
        </w:trPr>
        <w:tc>
          <w:tcPr>
            <w:tcW w:w="2415" w:type="dxa"/>
            <w:tcBorders>
              <w:top w:val="nil"/>
              <w:left w:val="single" w:color="auto" w:sz="8" w:space="0"/>
              <w:bottom w:val="single" w:color="auto" w:sz="4" w:space="0"/>
              <w:right w:val="single" w:color="auto" w:sz="4" w:space="0"/>
            </w:tcBorders>
            <w:vAlign w:val="center"/>
          </w:tcPr>
          <w:p>
            <w:pPr>
              <w:widowControl/>
              <w:spacing w:line="300" w:lineRule="exact"/>
              <w:jc w:val="center"/>
              <w:rPr>
                <w:rFonts w:ascii="宋体" w:hAnsi="宋体" w:cs="宋体"/>
                <w:kern w:val="0"/>
                <w:sz w:val="24"/>
              </w:rPr>
            </w:pPr>
            <w:r>
              <w:rPr>
                <w:rFonts w:hint="eastAsia" w:ascii="宋体" w:hAnsi="宋体" w:cs="宋体"/>
                <w:kern w:val="0"/>
                <w:sz w:val="24"/>
              </w:rPr>
              <w:t>联系人</w:t>
            </w:r>
          </w:p>
        </w:tc>
        <w:tc>
          <w:tcPr>
            <w:tcW w:w="1920" w:type="dxa"/>
            <w:tcBorders>
              <w:top w:val="nil"/>
              <w:left w:val="nil"/>
              <w:bottom w:val="single" w:color="auto" w:sz="4" w:space="0"/>
              <w:right w:val="single" w:color="auto" w:sz="4" w:space="0"/>
            </w:tcBorders>
            <w:noWrap/>
            <w:vAlign w:val="center"/>
          </w:tcPr>
          <w:p>
            <w:pPr>
              <w:widowControl/>
              <w:spacing w:line="300" w:lineRule="exact"/>
              <w:jc w:val="center"/>
              <w:rPr>
                <w:rFonts w:ascii="宋体" w:hAnsi="宋体" w:cs="宋体"/>
                <w:kern w:val="0"/>
                <w:sz w:val="24"/>
              </w:rPr>
            </w:pPr>
          </w:p>
        </w:tc>
        <w:tc>
          <w:tcPr>
            <w:tcW w:w="2296" w:type="dxa"/>
            <w:gridSpan w:val="2"/>
            <w:tcBorders>
              <w:top w:val="nil"/>
              <w:left w:val="nil"/>
              <w:bottom w:val="single" w:color="auto" w:sz="4" w:space="0"/>
              <w:right w:val="single" w:color="auto" w:sz="4" w:space="0"/>
            </w:tcBorders>
            <w:vAlign w:val="center"/>
          </w:tcPr>
          <w:p>
            <w:pPr>
              <w:widowControl/>
              <w:spacing w:line="300" w:lineRule="exact"/>
              <w:jc w:val="center"/>
              <w:rPr>
                <w:rFonts w:ascii="宋体" w:hAnsi="宋体" w:cs="宋体"/>
                <w:kern w:val="0"/>
                <w:sz w:val="24"/>
              </w:rPr>
            </w:pPr>
            <w:r>
              <w:rPr>
                <w:rFonts w:hint="eastAsia" w:ascii="宋体" w:hAnsi="宋体" w:cs="宋体"/>
                <w:kern w:val="0"/>
                <w:sz w:val="24"/>
              </w:rPr>
              <w:t>联系电话</w:t>
            </w:r>
          </w:p>
        </w:tc>
        <w:tc>
          <w:tcPr>
            <w:tcW w:w="2266" w:type="dxa"/>
            <w:tcBorders>
              <w:top w:val="nil"/>
              <w:left w:val="nil"/>
              <w:bottom w:val="single" w:color="auto" w:sz="4" w:space="0"/>
              <w:right w:val="single" w:color="auto" w:sz="8" w:space="0"/>
            </w:tcBorders>
            <w:noWrap/>
            <w:vAlign w:val="center"/>
          </w:tcPr>
          <w:p>
            <w:pPr>
              <w:widowControl/>
              <w:spacing w:line="300" w:lineRule="exact"/>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541" w:hRule="atLeast"/>
        </w:trPr>
        <w:tc>
          <w:tcPr>
            <w:tcW w:w="2415" w:type="dxa"/>
            <w:tcBorders>
              <w:top w:val="nil"/>
              <w:left w:val="single" w:color="auto" w:sz="8" w:space="0"/>
              <w:bottom w:val="single" w:color="auto" w:sz="4" w:space="0"/>
              <w:right w:val="single" w:color="auto" w:sz="4" w:space="0"/>
            </w:tcBorders>
            <w:vAlign w:val="center"/>
          </w:tcPr>
          <w:p>
            <w:pPr>
              <w:widowControl/>
              <w:spacing w:line="300" w:lineRule="exact"/>
              <w:jc w:val="center"/>
              <w:rPr>
                <w:rFonts w:ascii="宋体" w:hAnsi="宋体" w:cs="宋体"/>
                <w:kern w:val="0"/>
                <w:sz w:val="24"/>
              </w:rPr>
            </w:pPr>
            <w:r>
              <w:rPr>
                <w:rFonts w:hint="eastAsia" w:ascii="宋体" w:hAnsi="宋体" w:cs="宋体"/>
                <w:kern w:val="0"/>
                <w:sz w:val="24"/>
              </w:rPr>
              <w:t>技术负责人</w:t>
            </w:r>
          </w:p>
        </w:tc>
        <w:tc>
          <w:tcPr>
            <w:tcW w:w="1920" w:type="dxa"/>
            <w:tcBorders>
              <w:top w:val="nil"/>
              <w:left w:val="nil"/>
              <w:bottom w:val="single" w:color="auto" w:sz="4" w:space="0"/>
              <w:right w:val="single" w:color="auto" w:sz="4" w:space="0"/>
            </w:tcBorders>
            <w:noWrap/>
            <w:vAlign w:val="center"/>
          </w:tcPr>
          <w:p>
            <w:pPr>
              <w:widowControl/>
              <w:spacing w:line="300" w:lineRule="exact"/>
              <w:jc w:val="center"/>
              <w:rPr>
                <w:rFonts w:ascii="宋体" w:hAnsi="宋体" w:cs="宋体"/>
                <w:kern w:val="0"/>
                <w:sz w:val="24"/>
              </w:rPr>
            </w:pPr>
          </w:p>
        </w:tc>
        <w:tc>
          <w:tcPr>
            <w:tcW w:w="2296" w:type="dxa"/>
            <w:gridSpan w:val="2"/>
            <w:tcBorders>
              <w:top w:val="nil"/>
              <w:left w:val="nil"/>
              <w:bottom w:val="single" w:color="auto" w:sz="4" w:space="0"/>
              <w:right w:val="single" w:color="auto" w:sz="4" w:space="0"/>
            </w:tcBorders>
            <w:vAlign w:val="center"/>
          </w:tcPr>
          <w:p>
            <w:pPr>
              <w:widowControl/>
              <w:spacing w:line="300" w:lineRule="exact"/>
              <w:jc w:val="center"/>
              <w:rPr>
                <w:rFonts w:ascii="宋体" w:hAnsi="宋体" w:cs="宋体"/>
                <w:kern w:val="0"/>
                <w:sz w:val="24"/>
              </w:rPr>
            </w:pPr>
            <w:r>
              <w:rPr>
                <w:rFonts w:hint="eastAsia" w:ascii="宋体" w:hAnsi="宋体" w:cs="宋体"/>
                <w:kern w:val="0"/>
                <w:sz w:val="24"/>
              </w:rPr>
              <w:t>报告三级审核制度</w:t>
            </w:r>
          </w:p>
        </w:tc>
        <w:tc>
          <w:tcPr>
            <w:tcW w:w="2266" w:type="dxa"/>
            <w:tcBorders>
              <w:top w:val="nil"/>
              <w:left w:val="nil"/>
              <w:bottom w:val="single" w:color="auto" w:sz="4" w:space="0"/>
              <w:right w:val="single" w:color="auto" w:sz="8" w:space="0"/>
            </w:tcBorders>
            <w:noWrap/>
            <w:vAlign w:val="center"/>
          </w:tcPr>
          <w:p>
            <w:pPr>
              <w:widowControl/>
              <w:spacing w:line="300" w:lineRule="exact"/>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545" w:hRule="atLeast"/>
        </w:trPr>
        <w:tc>
          <w:tcPr>
            <w:tcW w:w="2415" w:type="dxa"/>
            <w:tcBorders>
              <w:top w:val="nil"/>
              <w:left w:val="single" w:color="auto" w:sz="8" w:space="0"/>
              <w:bottom w:val="single" w:color="auto" w:sz="4" w:space="0"/>
              <w:right w:val="single" w:color="auto" w:sz="4" w:space="0"/>
            </w:tcBorders>
            <w:vAlign w:val="center"/>
          </w:tcPr>
          <w:p>
            <w:pPr>
              <w:widowControl/>
              <w:spacing w:line="300" w:lineRule="exact"/>
              <w:jc w:val="center"/>
              <w:rPr>
                <w:rFonts w:ascii="宋体" w:hAnsi="宋体" w:cs="宋体"/>
                <w:kern w:val="0"/>
                <w:sz w:val="24"/>
              </w:rPr>
            </w:pPr>
            <w:r>
              <w:rPr>
                <w:rFonts w:hint="eastAsia" w:ascii="宋体" w:hAnsi="宋体" w:cs="宋体"/>
                <w:kern w:val="0"/>
                <w:sz w:val="24"/>
              </w:rPr>
              <w:t>内部管理制度</w:t>
            </w:r>
          </w:p>
        </w:tc>
        <w:tc>
          <w:tcPr>
            <w:tcW w:w="1920" w:type="dxa"/>
            <w:tcBorders>
              <w:top w:val="nil"/>
              <w:left w:val="nil"/>
              <w:bottom w:val="single" w:color="auto" w:sz="4" w:space="0"/>
              <w:right w:val="single" w:color="auto" w:sz="4" w:space="0"/>
            </w:tcBorders>
            <w:noWrap/>
            <w:vAlign w:val="center"/>
          </w:tcPr>
          <w:p>
            <w:pPr>
              <w:widowControl/>
              <w:spacing w:line="300" w:lineRule="exact"/>
              <w:jc w:val="center"/>
              <w:rPr>
                <w:rFonts w:ascii="宋体" w:hAnsi="宋体" w:cs="宋体"/>
                <w:kern w:val="0"/>
                <w:sz w:val="24"/>
              </w:rPr>
            </w:pPr>
          </w:p>
        </w:tc>
        <w:tc>
          <w:tcPr>
            <w:tcW w:w="2296" w:type="dxa"/>
            <w:gridSpan w:val="2"/>
            <w:tcBorders>
              <w:top w:val="nil"/>
              <w:left w:val="nil"/>
              <w:bottom w:val="single" w:color="auto" w:sz="4" w:space="0"/>
              <w:right w:val="single" w:color="auto" w:sz="4" w:space="0"/>
            </w:tcBorders>
            <w:vAlign w:val="center"/>
          </w:tcPr>
          <w:p>
            <w:pPr>
              <w:widowControl/>
              <w:spacing w:line="300" w:lineRule="exact"/>
              <w:jc w:val="center"/>
              <w:rPr>
                <w:rFonts w:ascii="宋体" w:hAnsi="宋体" w:cs="宋体"/>
                <w:kern w:val="0"/>
                <w:sz w:val="24"/>
              </w:rPr>
            </w:pPr>
            <w:r>
              <w:rPr>
                <w:rFonts w:hint="eastAsia" w:ascii="宋体" w:hAnsi="宋体" w:cs="宋体"/>
                <w:kern w:val="0"/>
                <w:sz w:val="24"/>
              </w:rPr>
              <w:t>备案土地</w:t>
            </w:r>
          </w:p>
          <w:p>
            <w:pPr>
              <w:widowControl/>
              <w:spacing w:line="300" w:lineRule="exact"/>
              <w:jc w:val="center"/>
              <w:rPr>
                <w:rFonts w:ascii="宋体" w:hAnsi="宋体" w:cs="宋体"/>
                <w:kern w:val="0"/>
                <w:sz w:val="24"/>
              </w:rPr>
            </w:pPr>
            <w:r>
              <w:rPr>
                <w:rFonts w:hint="eastAsia" w:ascii="宋体" w:hAnsi="宋体" w:cs="宋体"/>
                <w:kern w:val="0"/>
                <w:sz w:val="24"/>
              </w:rPr>
              <w:t>评估报告数</w:t>
            </w:r>
          </w:p>
        </w:tc>
        <w:tc>
          <w:tcPr>
            <w:tcW w:w="2266" w:type="dxa"/>
            <w:tcBorders>
              <w:top w:val="nil"/>
              <w:left w:val="nil"/>
              <w:bottom w:val="single" w:color="auto" w:sz="4" w:space="0"/>
              <w:right w:val="single" w:color="auto" w:sz="8" w:space="0"/>
            </w:tcBorders>
            <w:noWrap/>
            <w:vAlign w:val="center"/>
          </w:tcPr>
          <w:p>
            <w:pPr>
              <w:widowControl/>
              <w:spacing w:line="300" w:lineRule="exact"/>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558" w:hRule="atLeast"/>
        </w:trPr>
        <w:tc>
          <w:tcPr>
            <w:tcW w:w="2415" w:type="dxa"/>
            <w:tcBorders>
              <w:top w:val="nil"/>
              <w:left w:val="single" w:color="auto" w:sz="8" w:space="0"/>
              <w:bottom w:val="single" w:color="auto" w:sz="4" w:space="0"/>
              <w:right w:val="single" w:color="auto" w:sz="4" w:space="0"/>
            </w:tcBorders>
            <w:vAlign w:val="center"/>
          </w:tcPr>
          <w:p>
            <w:pPr>
              <w:widowControl/>
              <w:spacing w:line="300" w:lineRule="exact"/>
              <w:jc w:val="center"/>
              <w:rPr>
                <w:rFonts w:ascii="宋体" w:hAnsi="宋体" w:cs="宋体"/>
                <w:kern w:val="0"/>
                <w:sz w:val="24"/>
              </w:rPr>
            </w:pPr>
            <w:r>
              <w:rPr>
                <w:rFonts w:hint="eastAsia" w:ascii="宋体" w:hAnsi="宋体" w:cs="宋体"/>
                <w:kern w:val="0"/>
                <w:sz w:val="24"/>
              </w:rPr>
              <w:t>评估总面积</w:t>
            </w:r>
          </w:p>
          <w:p>
            <w:pPr>
              <w:widowControl/>
              <w:spacing w:line="300" w:lineRule="exact"/>
              <w:jc w:val="center"/>
              <w:rPr>
                <w:rFonts w:ascii="宋体" w:hAnsi="宋体" w:cs="宋体"/>
                <w:kern w:val="0"/>
                <w:sz w:val="24"/>
              </w:rPr>
            </w:pPr>
            <w:r>
              <w:rPr>
                <w:rFonts w:hint="eastAsia" w:ascii="宋体" w:hAnsi="宋体" w:cs="宋体"/>
                <w:kern w:val="0"/>
                <w:sz w:val="24"/>
              </w:rPr>
              <w:t>（平方米）</w:t>
            </w:r>
          </w:p>
        </w:tc>
        <w:tc>
          <w:tcPr>
            <w:tcW w:w="1920" w:type="dxa"/>
            <w:tcBorders>
              <w:top w:val="nil"/>
              <w:left w:val="nil"/>
              <w:bottom w:val="single" w:color="auto" w:sz="4" w:space="0"/>
              <w:right w:val="single" w:color="auto" w:sz="4" w:space="0"/>
            </w:tcBorders>
            <w:noWrap/>
            <w:vAlign w:val="center"/>
          </w:tcPr>
          <w:p>
            <w:pPr>
              <w:widowControl/>
              <w:spacing w:line="300" w:lineRule="exact"/>
              <w:jc w:val="center"/>
              <w:rPr>
                <w:rFonts w:ascii="宋体" w:hAnsi="宋体" w:cs="宋体"/>
                <w:kern w:val="0"/>
                <w:sz w:val="24"/>
              </w:rPr>
            </w:pPr>
          </w:p>
        </w:tc>
        <w:tc>
          <w:tcPr>
            <w:tcW w:w="2296" w:type="dxa"/>
            <w:gridSpan w:val="2"/>
            <w:tcBorders>
              <w:top w:val="nil"/>
              <w:left w:val="nil"/>
              <w:bottom w:val="single" w:color="auto" w:sz="4" w:space="0"/>
              <w:right w:val="single" w:color="auto" w:sz="4" w:space="0"/>
            </w:tcBorders>
            <w:vAlign w:val="center"/>
          </w:tcPr>
          <w:p>
            <w:pPr>
              <w:widowControl/>
              <w:spacing w:line="300" w:lineRule="exact"/>
              <w:jc w:val="center"/>
              <w:rPr>
                <w:rFonts w:ascii="宋体" w:hAnsi="宋体" w:cs="宋体"/>
                <w:kern w:val="0"/>
                <w:sz w:val="24"/>
              </w:rPr>
            </w:pPr>
            <w:r>
              <w:rPr>
                <w:rFonts w:hint="eastAsia" w:ascii="宋体" w:hAnsi="宋体" w:cs="宋体"/>
                <w:kern w:val="0"/>
                <w:sz w:val="24"/>
              </w:rPr>
              <w:t>评估总金额</w:t>
            </w:r>
          </w:p>
          <w:p>
            <w:pPr>
              <w:widowControl/>
              <w:spacing w:line="300" w:lineRule="exact"/>
              <w:jc w:val="center"/>
              <w:rPr>
                <w:rFonts w:ascii="宋体" w:hAnsi="宋体" w:cs="宋体"/>
                <w:kern w:val="0"/>
                <w:sz w:val="24"/>
              </w:rPr>
            </w:pPr>
            <w:r>
              <w:rPr>
                <w:rFonts w:hint="eastAsia" w:ascii="宋体" w:hAnsi="宋体" w:cs="宋体"/>
                <w:kern w:val="0"/>
                <w:sz w:val="24"/>
              </w:rPr>
              <w:t>（亿元）</w:t>
            </w:r>
          </w:p>
        </w:tc>
        <w:tc>
          <w:tcPr>
            <w:tcW w:w="2266" w:type="dxa"/>
            <w:tcBorders>
              <w:top w:val="nil"/>
              <w:left w:val="nil"/>
              <w:bottom w:val="single" w:color="auto" w:sz="4" w:space="0"/>
              <w:right w:val="single" w:color="auto" w:sz="8" w:space="0"/>
            </w:tcBorders>
            <w:noWrap/>
            <w:vAlign w:val="center"/>
          </w:tcPr>
          <w:p>
            <w:pPr>
              <w:widowControl/>
              <w:spacing w:line="300" w:lineRule="exact"/>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486" w:hRule="atLeast"/>
        </w:trPr>
        <w:tc>
          <w:tcPr>
            <w:tcW w:w="2415" w:type="dxa"/>
            <w:tcBorders>
              <w:top w:val="nil"/>
              <w:left w:val="single" w:color="auto" w:sz="8" w:space="0"/>
              <w:bottom w:val="single" w:color="auto" w:sz="4" w:space="0"/>
              <w:right w:val="single" w:color="auto" w:sz="4" w:space="0"/>
            </w:tcBorders>
            <w:vAlign w:val="center"/>
          </w:tcPr>
          <w:p>
            <w:pPr>
              <w:widowControl/>
              <w:spacing w:line="300" w:lineRule="exact"/>
              <w:jc w:val="center"/>
              <w:rPr>
                <w:rFonts w:ascii="宋体" w:hAnsi="宋体" w:cs="宋体"/>
                <w:kern w:val="0"/>
                <w:sz w:val="24"/>
              </w:rPr>
            </w:pPr>
            <w:r>
              <w:rPr>
                <w:rFonts w:hint="eastAsia" w:ascii="宋体" w:hAnsi="宋体" w:cs="宋体"/>
                <w:kern w:val="0"/>
                <w:sz w:val="24"/>
              </w:rPr>
              <w:t>估价师公示</w:t>
            </w:r>
          </w:p>
        </w:tc>
        <w:tc>
          <w:tcPr>
            <w:tcW w:w="1920" w:type="dxa"/>
            <w:tcBorders>
              <w:top w:val="nil"/>
              <w:left w:val="nil"/>
              <w:bottom w:val="single" w:color="auto" w:sz="4" w:space="0"/>
              <w:right w:val="single" w:color="auto" w:sz="4" w:space="0"/>
            </w:tcBorders>
            <w:noWrap/>
            <w:vAlign w:val="center"/>
          </w:tcPr>
          <w:p>
            <w:pPr>
              <w:widowControl/>
              <w:spacing w:line="300" w:lineRule="exact"/>
              <w:jc w:val="center"/>
              <w:rPr>
                <w:rFonts w:ascii="宋体" w:hAnsi="宋体" w:cs="宋体"/>
                <w:kern w:val="0"/>
                <w:sz w:val="24"/>
              </w:rPr>
            </w:pPr>
          </w:p>
        </w:tc>
        <w:tc>
          <w:tcPr>
            <w:tcW w:w="2296" w:type="dxa"/>
            <w:gridSpan w:val="2"/>
            <w:tcBorders>
              <w:top w:val="nil"/>
              <w:left w:val="nil"/>
              <w:bottom w:val="single" w:color="auto" w:sz="4" w:space="0"/>
              <w:right w:val="single" w:color="auto" w:sz="4" w:space="0"/>
            </w:tcBorders>
            <w:vAlign w:val="center"/>
          </w:tcPr>
          <w:p>
            <w:pPr>
              <w:widowControl/>
              <w:spacing w:line="300" w:lineRule="exact"/>
              <w:jc w:val="center"/>
              <w:rPr>
                <w:rFonts w:ascii="宋体" w:hAnsi="宋体" w:cs="宋体"/>
                <w:kern w:val="0"/>
                <w:sz w:val="24"/>
              </w:rPr>
            </w:pPr>
            <w:r>
              <w:rPr>
                <w:rFonts w:hint="eastAsia" w:ascii="宋体" w:hAnsi="宋体" w:cs="宋体"/>
                <w:kern w:val="0"/>
                <w:sz w:val="24"/>
              </w:rPr>
              <w:t>机构收费标准公示</w:t>
            </w:r>
          </w:p>
        </w:tc>
        <w:tc>
          <w:tcPr>
            <w:tcW w:w="2266" w:type="dxa"/>
            <w:tcBorders>
              <w:top w:val="nil"/>
              <w:left w:val="nil"/>
              <w:bottom w:val="single" w:color="auto" w:sz="4" w:space="0"/>
              <w:right w:val="single" w:color="auto" w:sz="8" w:space="0"/>
            </w:tcBorders>
            <w:noWrap/>
            <w:vAlign w:val="center"/>
          </w:tcPr>
          <w:p>
            <w:pPr>
              <w:widowControl/>
              <w:spacing w:line="300" w:lineRule="exact"/>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515" w:hRule="atLeast"/>
        </w:trPr>
        <w:tc>
          <w:tcPr>
            <w:tcW w:w="2415" w:type="dxa"/>
            <w:tcBorders>
              <w:top w:val="nil"/>
              <w:left w:val="single" w:color="auto" w:sz="8" w:space="0"/>
              <w:bottom w:val="single" w:color="auto" w:sz="4" w:space="0"/>
              <w:right w:val="single" w:color="auto" w:sz="4" w:space="0"/>
            </w:tcBorders>
            <w:vAlign w:val="center"/>
          </w:tcPr>
          <w:p>
            <w:pPr>
              <w:widowControl/>
              <w:spacing w:line="300" w:lineRule="exact"/>
              <w:jc w:val="center"/>
              <w:rPr>
                <w:rFonts w:ascii="宋体" w:hAnsi="宋体" w:cs="宋体"/>
                <w:kern w:val="0"/>
                <w:sz w:val="24"/>
              </w:rPr>
            </w:pPr>
            <w:r>
              <w:rPr>
                <w:rFonts w:hint="eastAsia" w:ascii="宋体" w:hAnsi="宋体" w:cs="宋体"/>
                <w:kern w:val="0"/>
                <w:sz w:val="24"/>
              </w:rPr>
              <w:t>档案存放</w:t>
            </w:r>
          </w:p>
        </w:tc>
        <w:tc>
          <w:tcPr>
            <w:tcW w:w="1920" w:type="dxa"/>
            <w:tcBorders>
              <w:top w:val="nil"/>
              <w:left w:val="nil"/>
              <w:bottom w:val="single" w:color="auto" w:sz="4" w:space="0"/>
              <w:right w:val="single" w:color="auto" w:sz="4" w:space="0"/>
            </w:tcBorders>
            <w:noWrap/>
            <w:vAlign w:val="center"/>
          </w:tcPr>
          <w:p>
            <w:pPr>
              <w:widowControl/>
              <w:spacing w:line="300" w:lineRule="exact"/>
              <w:jc w:val="center"/>
              <w:rPr>
                <w:rFonts w:ascii="宋体" w:hAnsi="宋体" w:cs="宋体"/>
                <w:kern w:val="0"/>
                <w:sz w:val="24"/>
              </w:rPr>
            </w:pPr>
          </w:p>
        </w:tc>
        <w:tc>
          <w:tcPr>
            <w:tcW w:w="2296" w:type="dxa"/>
            <w:gridSpan w:val="2"/>
            <w:tcBorders>
              <w:top w:val="nil"/>
              <w:left w:val="nil"/>
              <w:bottom w:val="single" w:color="auto" w:sz="4" w:space="0"/>
              <w:right w:val="single" w:color="auto" w:sz="4" w:space="0"/>
            </w:tcBorders>
            <w:vAlign w:val="center"/>
          </w:tcPr>
          <w:p>
            <w:pPr>
              <w:widowControl/>
              <w:spacing w:line="300" w:lineRule="exact"/>
              <w:jc w:val="center"/>
              <w:rPr>
                <w:rFonts w:ascii="宋体" w:hAnsi="宋体" w:cs="宋体"/>
                <w:kern w:val="0"/>
                <w:sz w:val="24"/>
              </w:rPr>
            </w:pPr>
            <w:r>
              <w:rPr>
                <w:rFonts w:hint="eastAsia" w:ascii="宋体" w:hAnsi="宋体" w:cs="宋体"/>
                <w:kern w:val="0"/>
                <w:sz w:val="24"/>
              </w:rPr>
              <w:t>纳税信用等级</w:t>
            </w:r>
          </w:p>
        </w:tc>
        <w:tc>
          <w:tcPr>
            <w:tcW w:w="2266" w:type="dxa"/>
            <w:tcBorders>
              <w:top w:val="nil"/>
              <w:left w:val="nil"/>
              <w:bottom w:val="single" w:color="auto" w:sz="4" w:space="0"/>
              <w:right w:val="single" w:color="auto" w:sz="8" w:space="0"/>
            </w:tcBorders>
            <w:noWrap/>
            <w:vAlign w:val="center"/>
          </w:tcPr>
          <w:p>
            <w:pPr>
              <w:widowControl/>
              <w:spacing w:line="300" w:lineRule="exact"/>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411" w:hRule="atLeast"/>
        </w:trPr>
        <w:tc>
          <w:tcPr>
            <w:tcW w:w="2415" w:type="dxa"/>
            <w:tcBorders>
              <w:top w:val="nil"/>
              <w:left w:val="single" w:color="auto" w:sz="8" w:space="0"/>
              <w:bottom w:val="single" w:color="auto" w:sz="4" w:space="0"/>
              <w:right w:val="single" w:color="auto" w:sz="4" w:space="0"/>
            </w:tcBorders>
            <w:vAlign w:val="center"/>
          </w:tcPr>
          <w:p>
            <w:pPr>
              <w:widowControl/>
              <w:spacing w:line="300" w:lineRule="exact"/>
              <w:jc w:val="center"/>
              <w:rPr>
                <w:rFonts w:ascii="宋体" w:hAnsi="宋体" w:cs="宋体"/>
                <w:kern w:val="0"/>
                <w:sz w:val="24"/>
              </w:rPr>
            </w:pPr>
            <w:r>
              <w:rPr>
                <w:rFonts w:hint="eastAsia" w:ascii="宋体" w:hAnsi="宋体" w:cs="宋体"/>
                <w:kern w:val="0"/>
                <w:sz w:val="24"/>
              </w:rPr>
              <w:t>业内专家</w:t>
            </w:r>
          </w:p>
        </w:tc>
        <w:tc>
          <w:tcPr>
            <w:tcW w:w="1920" w:type="dxa"/>
            <w:tcBorders>
              <w:top w:val="nil"/>
              <w:left w:val="nil"/>
              <w:bottom w:val="single" w:color="auto" w:sz="4" w:space="0"/>
              <w:right w:val="single" w:color="auto" w:sz="4" w:space="0"/>
            </w:tcBorders>
            <w:noWrap/>
            <w:vAlign w:val="center"/>
          </w:tcPr>
          <w:p>
            <w:pPr>
              <w:widowControl/>
              <w:spacing w:line="300" w:lineRule="exact"/>
              <w:jc w:val="center"/>
              <w:rPr>
                <w:rFonts w:ascii="宋体" w:hAnsi="宋体" w:cs="宋体"/>
                <w:kern w:val="0"/>
                <w:sz w:val="24"/>
              </w:rPr>
            </w:pPr>
          </w:p>
        </w:tc>
        <w:tc>
          <w:tcPr>
            <w:tcW w:w="2296" w:type="dxa"/>
            <w:gridSpan w:val="2"/>
            <w:tcBorders>
              <w:top w:val="nil"/>
              <w:left w:val="nil"/>
              <w:bottom w:val="single" w:color="auto" w:sz="4" w:space="0"/>
              <w:right w:val="single" w:color="auto" w:sz="4" w:space="0"/>
            </w:tcBorders>
            <w:vAlign w:val="center"/>
          </w:tcPr>
          <w:p>
            <w:pPr>
              <w:widowControl/>
              <w:spacing w:line="300" w:lineRule="exact"/>
              <w:jc w:val="center"/>
              <w:rPr>
                <w:rFonts w:ascii="宋体" w:hAnsi="宋体" w:cs="宋体"/>
                <w:kern w:val="0"/>
                <w:sz w:val="24"/>
              </w:rPr>
            </w:pPr>
            <w:r>
              <w:rPr>
                <w:rFonts w:hint="eastAsia" w:ascii="宋体" w:hAnsi="宋体" w:cs="宋体"/>
                <w:kern w:val="0"/>
                <w:sz w:val="24"/>
              </w:rPr>
              <w:t>参加活动（次）</w:t>
            </w:r>
          </w:p>
        </w:tc>
        <w:tc>
          <w:tcPr>
            <w:tcW w:w="2266" w:type="dxa"/>
            <w:tcBorders>
              <w:top w:val="nil"/>
              <w:left w:val="nil"/>
              <w:bottom w:val="single" w:color="auto" w:sz="4" w:space="0"/>
              <w:right w:val="single" w:color="auto" w:sz="8" w:space="0"/>
            </w:tcBorders>
            <w:noWrap/>
            <w:vAlign w:val="center"/>
          </w:tcPr>
          <w:p>
            <w:pPr>
              <w:widowControl/>
              <w:spacing w:line="300" w:lineRule="exact"/>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477" w:hRule="atLeast"/>
        </w:trPr>
        <w:tc>
          <w:tcPr>
            <w:tcW w:w="2415" w:type="dxa"/>
            <w:tcBorders>
              <w:top w:val="nil"/>
              <w:left w:val="single" w:color="auto" w:sz="8" w:space="0"/>
              <w:bottom w:val="single" w:color="auto" w:sz="4" w:space="0"/>
              <w:right w:val="single" w:color="auto" w:sz="4" w:space="0"/>
            </w:tcBorders>
            <w:vAlign w:val="center"/>
          </w:tcPr>
          <w:p>
            <w:pPr>
              <w:widowControl/>
              <w:spacing w:line="300" w:lineRule="exact"/>
              <w:jc w:val="center"/>
              <w:rPr>
                <w:rFonts w:ascii="宋体" w:hAnsi="宋体" w:cs="宋体"/>
                <w:kern w:val="0"/>
                <w:sz w:val="24"/>
              </w:rPr>
            </w:pPr>
            <w:r>
              <w:rPr>
                <w:rFonts w:hint="eastAsia" w:ascii="宋体" w:hAnsi="宋体" w:cs="宋体"/>
                <w:kern w:val="0"/>
                <w:sz w:val="24"/>
              </w:rPr>
              <w:t>继续教育（人）</w:t>
            </w:r>
          </w:p>
        </w:tc>
        <w:tc>
          <w:tcPr>
            <w:tcW w:w="1920" w:type="dxa"/>
            <w:tcBorders>
              <w:top w:val="nil"/>
              <w:left w:val="nil"/>
              <w:bottom w:val="single" w:color="auto" w:sz="4" w:space="0"/>
              <w:right w:val="single" w:color="auto" w:sz="4" w:space="0"/>
            </w:tcBorders>
            <w:noWrap/>
            <w:vAlign w:val="center"/>
          </w:tcPr>
          <w:p>
            <w:pPr>
              <w:widowControl/>
              <w:spacing w:line="300" w:lineRule="exact"/>
              <w:jc w:val="center"/>
              <w:rPr>
                <w:rFonts w:ascii="宋体" w:hAnsi="宋体" w:cs="宋体"/>
                <w:kern w:val="0"/>
                <w:sz w:val="24"/>
              </w:rPr>
            </w:pPr>
          </w:p>
        </w:tc>
        <w:tc>
          <w:tcPr>
            <w:tcW w:w="2296" w:type="dxa"/>
            <w:gridSpan w:val="2"/>
            <w:tcBorders>
              <w:top w:val="nil"/>
              <w:left w:val="nil"/>
              <w:bottom w:val="single" w:color="auto" w:sz="4" w:space="0"/>
              <w:right w:val="single" w:color="auto" w:sz="4" w:space="0"/>
            </w:tcBorders>
            <w:vAlign w:val="center"/>
          </w:tcPr>
          <w:p>
            <w:pPr>
              <w:widowControl/>
              <w:spacing w:line="300" w:lineRule="exact"/>
              <w:jc w:val="center"/>
              <w:rPr>
                <w:rFonts w:ascii="宋体" w:hAnsi="宋体" w:cs="宋体"/>
                <w:kern w:val="0"/>
                <w:sz w:val="24"/>
              </w:rPr>
            </w:pPr>
            <w:r>
              <w:rPr>
                <w:rFonts w:hint="eastAsia" w:ascii="宋体" w:hAnsi="宋体" w:cs="宋体"/>
                <w:kern w:val="0"/>
                <w:sz w:val="24"/>
              </w:rPr>
              <w:t>会费按时缴纳</w:t>
            </w:r>
          </w:p>
        </w:tc>
        <w:tc>
          <w:tcPr>
            <w:tcW w:w="2266" w:type="dxa"/>
            <w:tcBorders>
              <w:top w:val="nil"/>
              <w:left w:val="nil"/>
              <w:bottom w:val="single" w:color="auto" w:sz="4" w:space="0"/>
              <w:right w:val="single" w:color="auto" w:sz="8" w:space="0"/>
            </w:tcBorders>
            <w:noWrap/>
            <w:vAlign w:val="center"/>
          </w:tcPr>
          <w:p>
            <w:pPr>
              <w:widowControl/>
              <w:spacing w:line="300" w:lineRule="exact"/>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529" w:hRule="atLeast"/>
        </w:trPr>
        <w:tc>
          <w:tcPr>
            <w:tcW w:w="2415" w:type="dxa"/>
            <w:tcBorders>
              <w:top w:val="nil"/>
              <w:left w:val="single" w:color="auto" w:sz="8" w:space="0"/>
              <w:bottom w:val="single" w:color="auto" w:sz="4" w:space="0"/>
              <w:right w:val="single" w:color="auto" w:sz="4" w:space="0"/>
            </w:tcBorders>
            <w:vAlign w:val="center"/>
          </w:tcPr>
          <w:p>
            <w:pPr>
              <w:widowControl/>
              <w:spacing w:line="300" w:lineRule="exact"/>
              <w:jc w:val="center"/>
              <w:rPr>
                <w:rFonts w:ascii="宋体" w:hAnsi="宋体" w:cs="宋体"/>
                <w:kern w:val="0"/>
                <w:sz w:val="24"/>
              </w:rPr>
            </w:pPr>
            <w:r>
              <w:rPr>
                <w:rFonts w:hint="eastAsia" w:ascii="宋体" w:hAnsi="宋体" w:cs="宋体"/>
                <w:kern w:val="0"/>
                <w:sz w:val="24"/>
              </w:rPr>
              <w:t>学术论文</w:t>
            </w:r>
          </w:p>
        </w:tc>
        <w:tc>
          <w:tcPr>
            <w:tcW w:w="1920" w:type="dxa"/>
            <w:tcBorders>
              <w:top w:val="nil"/>
              <w:left w:val="nil"/>
              <w:bottom w:val="single" w:color="auto" w:sz="4" w:space="0"/>
              <w:right w:val="single" w:color="auto" w:sz="4" w:space="0"/>
            </w:tcBorders>
            <w:noWrap/>
            <w:vAlign w:val="center"/>
          </w:tcPr>
          <w:p>
            <w:pPr>
              <w:widowControl/>
              <w:spacing w:line="300" w:lineRule="exact"/>
              <w:jc w:val="center"/>
              <w:rPr>
                <w:rFonts w:ascii="宋体" w:hAnsi="宋体" w:cs="宋体"/>
                <w:kern w:val="0"/>
                <w:sz w:val="24"/>
              </w:rPr>
            </w:pPr>
          </w:p>
        </w:tc>
        <w:tc>
          <w:tcPr>
            <w:tcW w:w="2296" w:type="dxa"/>
            <w:gridSpan w:val="2"/>
            <w:tcBorders>
              <w:top w:val="nil"/>
              <w:left w:val="nil"/>
              <w:bottom w:val="single" w:color="auto" w:sz="4" w:space="0"/>
              <w:right w:val="single" w:color="auto" w:sz="4" w:space="0"/>
            </w:tcBorders>
            <w:vAlign w:val="center"/>
          </w:tcPr>
          <w:p>
            <w:pPr>
              <w:widowControl/>
              <w:spacing w:line="300" w:lineRule="exact"/>
              <w:jc w:val="center"/>
              <w:rPr>
                <w:rFonts w:ascii="宋体" w:hAnsi="宋体" w:cs="宋体"/>
                <w:kern w:val="0"/>
                <w:sz w:val="24"/>
              </w:rPr>
            </w:pPr>
            <w:r>
              <w:rPr>
                <w:rFonts w:hint="eastAsia" w:ascii="宋体" w:hAnsi="宋体" w:cs="宋体"/>
                <w:kern w:val="0"/>
                <w:sz w:val="24"/>
              </w:rPr>
              <w:t>报告等级</w:t>
            </w:r>
          </w:p>
        </w:tc>
        <w:tc>
          <w:tcPr>
            <w:tcW w:w="2266" w:type="dxa"/>
            <w:tcBorders>
              <w:top w:val="nil"/>
              <w:left w:val="nil"/>
              <w:bottom w:val="single" w:color="auto" w:sz="4" w:space="0"/>
              <w:right w:val="single" w:color="auto" w:sz="8" w:space="0"/>
            </w:tcBorders>
            <w:noWrap/>
            <w:vAlign w:val="center"/>
          </w:tcPr>
          <w:p>
            <w:pPr>
              <w:widowControl/>
              <w:spacing w:line="300" w:lineRule="exact"/>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273" w:hRule="atLeast"/>
        </w:trPr>
        <w:tc>
          <w:tcPr>
            <w:tcW w:w="2415" w:type="dxa"/>
            <w:tcBorders>
              <w:top w:val="nil"/>
              <w:left w:val="single" w:color="auto" w:sz="8" w:space="0"/>
              <w:bottom w:val="nil"/>
              <w:right w:val="single" w:color="auto" w:sz="4" w:space="0"/>
            </w:tcBorders>
            <w:vAlign w:val="center"/>
          </w:tcPr>
          <w:p>
            <w:pPr>
              <w:spacing w:line="300" w:lineRule="exact"/>
              <w:ind w:firstLine="240" w:firstLineChars="100"/>
              <w:jc w:val="center"/>
              <w:rPr>
                <w:rFonts w:ascii="宋体" w:hAnsi="宋体" w:cs="宋体"/>
                <w:kern w:val="0"/>
                <w:sz w:val="24"/>
              </w:rPr>
            </w:pPr>
            <w:r>
              <w:rPr>
                <w:rFonts w:hint="eastAsia" w:ascii="宋体" w:hAnsi="宋体" w:cs="宋体"/>
                <w:kern w:val="0"/>
                <w:sz w:val="24"/>
              </w:rPr>
              <w:t>上年度</w:t>
            </w:r>
          </w:p>
          <w:p>
            <w:pPr>
              <w:widowControl/>
              <w:spacing w:line="300" w:lineRule="exact"/>
              <w:jc w:val="center"/>
              <w:rPr>
                <w:rFonts w:ascii="宋体" w:hAnsi="宋体" w:cs="宋体"/>
                <w:kern w:val="0"/>
                <w:sz w:val="24"/>
              </w:rPr>
            </w:pPr>
            <w:r>
              <w:rPr>
                <w:rFonts w:hint="eastAsia" w:ascii="宋体" w:hAnsi="宋体" w:cs="宋体"/>
                <w:kern w:val="0"/>
                <w:sz w:val="24"/>
              </w:rPr>
              <w:t>资信评定等级</w:t>
            </w:r>
          </w:p>
        </w:tc>
        <w:tc>
          <w:tcPr>
            <w:tcW w:w="1920" w:type="dxa"/>
            <w:tcBorders>
              <w:top w:val="nil"/>
              <w:left w:val="nil"/>
              <w:bottom w:val="nil"/>
              <w:right w:val="single" w:color="auto" w:sz="4" w:space="0"/>
            </w:tcBorders>
            <w:noWrap/>
            <w:vAlign w:val="center"/>
          </w:tcPr>
          <w:p>
            <w:pPr>
              <w:widowControl/>
              <w:spacing w:line="300" w:lineRule="exact"/>
              <w:jc w:val="center"/>
              <w:rPr>
                <w:rFonts w:ascii="宋体" w:hAnsi="宋体" w:cs="宋体"/>
                <w:kern w:val="0"/>
                <w:sz w:val="24"/>
              </w:rPr>
            </w:pPr>
          </w:p>
        </w:tc>
        <w:tc>
          <w:tcPr>
            <w:tcW w:w="2296" w:type="dxa"/>
            <w:gridSpan w:val="2"/>
            <w:tcBorders>
              <w:top w:val="nil"/>
              <w:left w:val="nil"/>
              <w:bottom w:val="nil"/>
              <w:right w:val="single" w:color="auto" w:sz="4" w:space="0"/>
            </w:tcBorders>
            <w:vAlign w:val="center"/>
          </w:tcPr>
          <w:p>
            <w:pPr>
              <w:widowControl/>
              <w:spacing w:line="300" w:lineRule="exact"/>
              <w:jc w:val="center"/>
              <w:rPr>
                <w:rFonts w:ascii="宋体" w:hAnsi="宋体" w:cs="宋体"/>
                <w:kern w:val="0"/>
                <w:sz w:val="24"/>
              </w:rPr>
            </w:pPr>
            <w:r>
              <w:rPr>
                <w:rFonts w:hint="eastAsia" w:ascii="宋体" w:hAnsi="宋体" w:cs="宋体"/>
                <w:kern w:val="0"/>
                <w:sz w:val="24"/>
              </w:rPr>
              <w:t>社会公益</w:t>
            </w:r>
          </w:p>
        </w:tc>
        <w:tc>
          <w:tcPr>
            <w:tcW w:w="2266" w:type="dxa"/>
            <w:tcBorders>
              <w:top w:val="nil"/>
              <w:left w:val="nil"/>
              <w:bottom w:val="nil"/>
              <w:right w:val="single" w:color="auto" w:sz="8" w:space="0"/>
            </w:tcBorders>
            <w:noWrap/>
            <w:vAlign w:val="center"/>
          </w:tcPr>
          <w:p>
            <w:pPr>
              <w:widowControl/>
              <w:spacing w:line="300" w:lineRule="exact"/>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500" w:hRule="atLeast"/>
        </w:trPr>
        <w:tc>
          <w:tcPr>
            <w:tcW w:w="2415" w:type="dxa"/>
            <w:tcBorders>
              <w:top w:val="single" w:color="auto" w:sz="4" w:space="0"/>
              <w:left w:val="single" w:color="auto" w:sz="8" w:space="0"/>
              <w:bottom w:val="nil"/>
              <w:right w:val="single" w:color="auto" w:sz="4" w:space="0"/>
            </w:tcBorders>
            <w:vAlign w:val="center"/>
          </w:tcPr>
          <w:p>
            <w:pPr>
              <w:widowControl/>
              <w:spacing w:line="300" w:lineRule="exact"/>
              <w:jc w:val="center"/>
              <w:rPr>
                <w:rFonts w:ascii="宋体" w:hAnsi="宋体" w:cs="宋体"/>
                <w:kern w:val="0"/>
                <w:sz w:val="24"/>
              </w:rPr>
            </w:pPr>
            <w:r>
              <w:rPr>
                <w:rFonts w:hint="eastAsia" w:ascii="宋体" w:hAnsi="宋体" w:cs="宋体"/>
                <w:kern w:val="0"/>
                <w:sz w:val="24"/>
              </w:rPr>
              <w:t>工会、党支部</w:t>
            </w:r>
          </w:p>
        </w:tc>
        <w:tc>
          <w:tcPr>
            <w:tcW w:w="1920" w:type="dxa"/>
            <w:tcBorders>
              <w:top w:val="single" w:color="auto" w:sz="4" w:space="0"/>
              <w:left w:val="nil"/>
              <w:bottom w:val="nil"/>
              <w:right w:val="single" w:color="auto" w:sz="4" w:space="0"/>
            </w:tcBorders>
            <w:noWrap/>
            <w:vAlign w:val="center"/>
          </w:tcPr>
          <w:p>
            <w:pPr>
              <w:widowControl/>
              <w:spacing w:line="300" w:lineRule="exact"/>
              <w:jc w:val="center"/>
              <w:rPr>
                <w:rFonts w:ascii="宋体" w:hAnsi="宋体" w:cs="宋体"/>
                <w:kern w:val="0"/>
                <w:sz w:val="24"/>
              </w:rPr>
            </w:pPr>
          </w:p>
        </w:tc>
        <w:tc>
          <w:tcPr>
            <w:tcW w:w="2296" w:type="dxa"/>
            <w:gridSpan w:val="2"/>
            <w:tcBorders>
              <w:top w:val="single" w:color="auto" w:sz="4" w:space="0"/>
              <w:left w:val="nil"/>
              <w:bottom w:val="nil"/>
              <w:right w:val="single" w:color="auto" w:sz="4" w:space="0"/>
            </w:tcBorders>
            <w:vAlign w:val="center"/>
          </w:tcPr>
          <w:p>
            <w:pPr>
              <w:widowControl/>
              <w:spacing w:line="300" w:lineRule="exact"/>
              <w:jc w:val="center"/>
              <w:rPr>
                <w:rFonts w:ascii="宋体" w:hAnsi="宋体" w:cs="宋体"/>
                <w:kern w:val="0"/>
                <w:sz w:val="24"/>
              </w:rPr>
            </w:pPr>
            <w:r>
              <w:rPr>
                <w:rFonts w:hint="eastAsia" w:ascii="宋体" w:hAnsi="宋体" w:cs="宋体"/>
                <w:kern w:val="0"/>
                <w:sz w:val="24"/>
              </w:rPr>
              <w:t>表彰奖励</w:t>
            </w:r>
          </w:p>
        </w:tc>
        <w:tc>
          <w:tcPr>
            <w:tcW w:w="2266" w:type="dxa"/>
            <w:tcBorders>
              <w:top w:val="single" w:color="auto" w:sz="4" w:space="0"/>
              <w:left w:val="nil"/>
              <w:bottom w:val="nil"/>
              <w:right w:val="single" w:color="auto" w:sz="8" w:space="0"/>
            </w:tcBorders>
            <w:noWrap/>
            <w:vAlign w:val="center"/>
          </w:tcPr>
          <w:p>
            <w:pPr>
              <w:widowControl/>
              <w:spacing w:line="300" w:lineRule="exact"/>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506" w:hRule="atLeast"/>
        </w:trPr>
        <w:tc>
          <w:tcPr>
            <w:tcW w:w="2415" w:type="dxa"/>
            <w:tcBorders>
              <w:top w:val="single" w:color="auto" w:sz="4" w:space="0"/>
              <w:left w:val="single" w:color="auto" w:sz="8" w:space="0"/>
              <w:bottom w:val="single" w:color="auto" w:sz="4" w:space="0"/>
              <w:right w:val="single" w:color="auto" w:sz="4" w:space="0"/>
            </w:tcBorders>
            <w:vAlign w:val="center"/>
          </w:tcPr>
          <w:p>
            <w:pPr>
              <w:widowControl/>
              <w:spacing w:line="300" w:lineRule="exact"/>
              <w:jc w:val="center"/>
              <w:rPr>
                <w:rFonts w:ascii="宋体" w:hAnsi="宋体" w:cs="宋体"/>
                <w:kern w:val="0"/>
                <w:sz w:val="24"/>
              </w:rPr>
            </w:pPr>
            <w:r>
              <w:rPr>
                <w:rFonts w:hint="eastAsia" w:ascii="宋体" w:hAnsi="宋体" w:cs="宋体"/>
                <w:kern w:val="0"/>
                <w:sz w:val="24"/>
              </w:rPr>
              <w:t>参政议政</w:t>
            </w:r>
          </w:p>
        </w:tc>
        <w:tc>
          <w:tcPr>
            <w:tcW w:w="192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kern w:val="0"/>
                <w:sz w:val="24"/>
              </w:rPr>
            </w:pPr>
          </w:p>
        </w:tc>
        <w:tc>
          <w:tcPr>
            <w:tcW w:w="229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kern w:val="0"/>
                <w:sz w:val="24"/>
              </w:rPr>
            </w:pPr>
            <w:r>
              <w:rPr>
                <w:rFonts w:hint="eastAsia" w:ascii="宋体" w:hAnsi="宋体" w:cs="宋体"/>
                <w:kern w:val="0"/>
                <w:sz w:val="24"/>
              </w:rPr>
              <w:t>业务拓展</w:t>
            </w:r>
          </w:p>
        </w:tc>
        <w:tc>
          <w:tcPr>
            <w:tcW w:w="2272" w:type="dxa"/>
            <w:gridSpan w:val="2"/>
            <w:tcBorders>
              <w:top w:val="single" w:color="auto" w:sz="4" w:space="0"/>
              <w:left w:val="single" w:color="auto" w:sz="4" w:space="0"/>
              <w:bottom w:val="single" w:color="auto" w:sz="4" w:space="0"/>
              <w:right w:val="single" w:color="000000" w:sz="8" w:space="0"/>
            </w:tcBorders>
            <w:vAlign w:val="center"/>
          </w:tcPr>
          <w:p>
            <w:pPr>
              <w:widowControl/>
              <w:spacing w:line="300" w:lineRule="exact"/>
              <w:jc w:val="center"/>
              <w:rPr>
                <w:rFonts w:ascii="宋体" w:hAnsi="宋体" w:cs="宋体"/>
                <w:kern w:val="0"/>
                <w:sz w:val="24"/>
              </w:rPr>
            </w:pPr>
          </w:p>
        </w:tc>
      </w:tr>
      <w:tr>
        <w:tblPrEx>
          <w:tblCellMar>
            <w:top w:w="0" w:type="dxa"/>
            <w:left w:w="108" w:type="dxa"/>
            <w:bottom w:w="0" w:type="dxa"/>
            <w:right w:w="108" w:type="dxa"/>
          </w:tblCellMar>
        </w:tblPrEx>
        <w:trPr>
          <w:trHeight w:val="524" w:hRule="atLeast"/>
        </w:trPr>
        <w:tc>
          <w:tcPr>
            <w:tcW w:w="2415" w:type="dxa"/>
            <w:tcBorders>
              <w:top w:val="single" w:color="auto" w:sz="4" w:space="0"/>
              <w:left w:val="single" w:color="auto" w:sz="8" w:space="0"/>
              <w:bottom w:val="single" w:color="auto" w:sz="4" w:space="0"/>
              <w:right w:val="single" w:color="auto" w:sz="4" w:space="0"/>
            </w:tcBorders>
            <w:vAlign w:val="center"/>
          </w:tcPr>
          <w:p>
            <w:pPr>
              <w:spacing w:line="300" w:lineRule="exact"/>
              <w:jc w:val="center"/>
              <w:rPr>
                <w:rFonts w:ascii="宋体" w:hAnsi="宋体" w:cs="宋体"/>
                <w:kern w:val="0"/>
                <w:sz w:val="24"/>
              </w:rPr>
            </w:pPr>
            <w:r>
              <w:rPr>
                <w:rFonts w:hint="eastAsia" w:ascii="宋体" w:hAnsi="宋体" w:cs="宋体"/>
                <w:kern w:val="0"/>
                <w:sz w:val="24"/>
              </w:rPr>
              <w:t>课题研究</w:t>
            </w:r>
          </w:p>
        </w:tc>
        <w:tc>
          <w:tcPr>
            <w:tcW w:w="192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kern w:val="0"/>
                <w:sz w:val="24"/>
              </w:rPr>
            </w:pPr>
          </w:p>
        </w:tc>
        <w:tc>
          <w:tcPr>
            <w:tcW w:w="2296"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kern w:val="0"/>
                <w:sz w:val="24"/>
              </w:rPr>
            </w:pPr>
            <w:r>
              <w:rPr>
                <w:rFonts w:hint="eastAsia" w:ascii="宋体" w:hAnsi="宋体" w:cs="宋体"/>
                <w:kern w:val="0"/>
                <w:sz w:val="24"/>
              </w:rPr>
              <w:t>其他</w:t>
            </w:r>
          </w:p>
        </w:tc>
        <w:tc>
          <w:tcPr>
            <w:tcW w:w="2266" w:type="dxa"/>
            <w:tcBorders>
              <w:top w:val="single" w:color="auto" w:sz="4" w:space="0"/>
              <w:left w:val="single" w:color="auto" w:sz="4" w:space="0"/>
              <w:bottom w:val="single" w:color="auto" w:sz="4" w:space="0"/>
              <w:right w:val="single" w:color="000000" w:sz="8" w:space="0"/>
            </w:tcBorders>
            <w:vAlign w:val="center"/>
          </w:tcPr>
          <w:p>
            <w:pPr>
              <w:spacing w:line="300" w:lineRule="exact"/>
              <w:jc w:val="center"/>
              <w:rPr>
                <w:rFonts w:ascii="宋体" w:hAnsi="宋体" w:cs="宋体"/>
                <w:kern w:val="0"/>
                <w:sz w:val="24"/>
              </w:rPr>
            </w:pPr>
          </w:p>
        </w:tc>
      </w:tr>
      <w:tr>
        <w:tblPrEx>
          <w:tblCellMar>
            <w:top w:w="0" w:type="dxa"/>
            <w:left w:w="108" w:type="dxa"/>
            <w:bottom w:w="0" w:type="dxa"/>
            <w:right w:w="108" w:type="dxa"/>
          </w:tblCellMar>
        </w:tblPrEx>
        <w:trPr>
          <w:trHeight w:val="58" w:hRule="atLeast"/>
        </w:trPr>
        <w:tc>
          <w:tcPr>
            <w:tcW w:w="8897" w:type="dxa"/>
            <w:gridSpan w:val="5"/>
            <w:tcBorders>
              <w:top w:val="nil"/>
              <w:left w:val="single" w:color="auto" w:sz="8" w:space="0"/>
              <w:bottom w:val="single" w:color="auto" w:sz="4" w:space="0"/>
              <w:right w:val="single" w:color="000000" w:sz="8" w:space="0"/>
            </w:tcBorders>
            <w:vAlign w:val="center"/>
          </w:tcPr>
          <w:p>
            <w:pPr>
              <w:spacing w:line="300" w:lineRule="exact"/>
              <w:jc w:val="left"/>
              <w:rPr>
                <w:rFonts w:ascii="宋体" w:hAnsi="宋体" w:cs="宋体"/>
                <w:kern w:val="0"/>
                <w:sz w:val="24"/>
              </w:rPr>
            </w:pPr>
          </w:p>
          <w:p>
            <w:pPr>
              <w:spacing w:line="300" w:lineRule="exact"/>
              <w:ind w:firstLine="480" w:firstLineChars="200"/>
              <w:jc w:val="left"/>
              <w:rPr>
                <w:rFonts w:ascii="宋体" w:hAnsi="宋体" w:cs="宋体"/>
                <w:kern w:val="0"/>
                <w:sz w:val="24"/>
              </w:rPr>
            </w:pPr>
            <w:r>
              <w:rPr>
                <w:rFonts w:hint="eastAsia" w:ascii="宋体" w:hAnsi="宋体" w:cs="宋体"/>
                <w:kern w:val="0"/>
                <w:sz w:val="24"/>
              </w:rPr>
              <w:t>本机构承诺对填报内容及相关证明材料的真实性负责。</w:t>
            </w:r>
          </w:p>
          <w:p>
            <w:pPr>
              <w:spacing w:line="300" w:lineRule="exact"/>
              <w:jc w:val="left"/>
              <w:rPr>
                <w:rFonts w:ascii="宋体" w:hAnsi="宋体" w:cs="宋体"/>
                <w:kern w:val="0"/>
                <w:sz w:val="24"/>
              </w:rPr>
            </w:pPr>
          </w:p>
          <w:p>
            <w:pPr>
              <w:spacing w:line="300" w:lineRule="exact"/>
              <w:jc w:val="left"/>
              <w:rPr>
                <w:rFonts w:ascii="宋体" w:hAnsi="宋体" w:cs="宋体"/>
                <w:kern w:val="0"/>
                <w:sz w:val="24"/>
              </w:rPr>
            </w:pPr>
            <w:r>
              <w:rPr>
                <w:rFonts w:hint="eastAsia" w:ascii="宋体" w:hAnsi="宋体" w:cs="宋体"/>
                <w:kern w:val="0"/>
                <w:sz w:val="24"/>
              </w:rPr>
              <w:t xml:space="preserve">                                         </w:t>
            </w:r>
          </w:p>
          <w:p>
            <w:pPr>
              <w:spacing w:line="300" w:lineRule="exact"/>
              <w:ind w:firstLine="4560" w:firstLineChars="1900"/>
              <w:jc w:val="left"/>
              <w:rPr>
                <w:rFonts w:ascii="宋体" w:hAnsi="宋体" w:cs="宋体"/>
                <w:kern w:val="0"/>
                <w:sz w:val="24"/>
              </w:rPr>
            </w:pPr>
            <w:r>
              <w:rPr>
                <w:rFonts w:hint="eastAsia" w:ascii="宋体" w:hAnsi="宋体" w:cs="宋体"/>
                <w:kern w:val="0"/>
                <w:sz w:val="24"/>
              </w:rPr>
              <w:t xml:space="preserve"> 法定代表人签字：</w:t>
            </w:r>
          </w:p>
          <w:p>
            <w:pPr>
              <w:spacing w:line="300" w:lineRule="exact"/>
              <w:ind w:firstLine="5040" w:firstLineChars="2100"/>
              <w:jc w:val="left"/>
              <w:rPr>
                <w:rFonts w:ascii="宋体" w:hAnsi="宋体" w:cs="宋体"/>
                <w:kern w:val="0"/>
                <w:sz w:val="24"/>
              </w:rPr>
            </w:pPr>
          </w:p>
          <w:p>
            <w:pPr>
              <w:spacing w:line="300" w:lineRule="exact"/>
              <w:ind w:firstLine="5040" w:firstLineChars="2100"/>
              <w:jc w:val="left"/>
              <w:rPr>
                <w:rFonts w:ascii="宋体" w:hAnsi="宋体" w:cs="宋体"/>
                <w:kern w:val="0"/>
                <w:sz w:val="24"/>
              </w:rPr>
            </w:pPr>
            <w:r>
              <w:rPr>
                <w:rFonts w:hint="eastAsia" w:ascii="宋体" w:hAnsi="宋体" w:cs="宋体"/>
                <w:kern w:val="0"/>
                <w:sz w:val="24"/>
              </w:rPr>
              <w:t>单位盖章：</w:t>
            </w:r>
          </w:p>
          <w:p>
            <w:pPr>
              <w:widowControl/>
              <w:spacing w:line="300" w:lineRule="exact"/>
              <w:ind w:firstLine="4800" w:firstLineChars="2000"/>
              <w:rPr>
                <w:rFonts w:ascii="宋体" w:hAnsi="宋体" w:cs="宋体"/>
                <w:kern w:val="0"/>
                <w:sz w:val="24"/>
              </w:rPr>
            </w:pPr>
          </w:p>
          <w:p>
            <w:pPr>
              <w:widowControl/>
              <w:spacing w:line="300" w:lineRule="exact"/>
              <w:ind w:firstLine="4800" w:firstLineChars="2000"/>
              <w:jc w:val="right"/>
              <w:rPr>
                <w:rFonts w:ascii="宋体" w:hAnsi="宋体" w:cs="宋体"/>
                <w:kern w:val="0"/>
                <w:sz w:val="24"/>
              </w:rPr>
            </w:pPr>
            <w:r>
              <w:rPr>
                <w:rFonts w:hint="eastAsia" w:ascii="宋体" w:hAnsi="宋体" w:cs="宋体"/>
                <w:kern w:val="0"/>
                <w:sz w:val="24"/>
              </w:rPr>
              <w:t>年    月    日</w:t>
            </w:r>
          </w:p>
          <w:p>
            <w:pPr>
              <w:widowControl/>
              <w:spacing w:line="300" w:lineRule="exact"/>
              <w:rPr>
                <w:rFonts w:ascii="宋体" w:hAnsi="宋体" w:cs="宋体"/>
                <w:kern w:val="0"/>
                <w:sz w:val="24"/>
              </w:rPr>
            </w:pPr>
          </w:p>
        </w:tc>
      </w:tr>
    </w:tbl>
    <w:p>
      <w:pPr>
        <w:spacing w:after="312" w:afterLines="100"/>
        <w:jc w:val="center"/>
        <w:rPr>
          <w:rFonts w:ascii="宋体" w:hAnsi="宋体" w:cs="宋体"/>
          <w:b/>
          <w:sz w:val="28"/>
          <w:szCs w:val="28"/>
        </w:rPr>
      </w:pPr>
      <w:r>
        <w:rPr>
          <w:rFonts w:hint="eastAsia" w:ascii="宋体" w:hAnsi="宋体" w:cs="宋体"/>
          <w:sz w:val="36"/>
          <w:szCs w:val="36"/>
        </w:rPr>
        <w:t xml:space="preserve"> </w:t>
      </w:r>
      <w:r>
        <w:rPr>
          <w:rFonts w:hint="eastAsia" w:ascii="宋体" w:hAnsi="宋体" w:cs="宋体"/>
          <w:sz w:val="36"/>
          <w:szCs w:val="36"/>
        </w:rPr>
        <w:br w:type="page"/>
      </w:r>
      <w:r>
        <w:rPr>
          <w:rFonts w:hint="eastAsia" w:ascii="宋体" w:hAnsi="宋体" w:cs="宋体"/>
          <w:b/>
          <w:sz w:val="36"/>
          <w:szCs w:val="36"/>
        </w:rPr>
        <w:t>填表说明</w:t>
      </w:r>
    </w:p>
    <w:p>
      <w:pPr>
        <w:rPr>
          <w:rFonts w:ascii="宋体" w:hAnsi="宋体" w:cs="宋体"/>
          <w:sz w:val="28"/>
          <w:szCs w:val="28"/>
        </w:rPr>
      </w:pPr>
      <w:r>
        <w:rPr>
          <w:rFonts w:hint="eastAsia" w:ascii="宋体" w:hAnsi="宋体" w:cs="宋体"/>
          <w:sz w:val="28"/>
          <w:szCs w:val="28"/>
        </w:rPr>
        <w:t xml:space="preserve">    </w:t>
      </w:r>
    </w:p>
    <w:p>
      <w:pPr>
        <w:ind w:firstLine="560" w:firstLineChars="200"/>
        <w:rPr>
          <w:rFonts w:ascii="宋体" w:hAnsi="宋体" w:cs="宋体"/>
          <w:sz w:val="28"/>
          <w:szCs w:val="28"/>
        </w:rPr>
      </w:pPr>
      <w:r>
        <w:rPr>
          <w:rFonts w:hint="eastAsia" w:ascii="宋体" w:hAnsi="宋体" w:cs="宋体"/>
          <w:sz w:val="28"/>
          <w:szCs w:val="28"/>
        </w:rPr>
        <w:t>一、表格中均为必填项，表中事项有的填具体数量或有，没有的填无，填有的附相关证明材料。</w:t>
      </w:r>
    </w:p>
    <w:p>
      <w:pPr>
        <w:rPr>
          <w:rFonts w:ascii="宋体" w:hAnsi="宋体" w:cs="宋体"/>
          <w:sz w:val="28"/>
          <w:szCs w:val="28"/>
        </w:rPr>
      </w:pPr>
      <w:r>
        <w:rPr>
          <w:rFonts w:hint="eastAsia" w:ascii="宋体" w:hAnsi="宋体" w:cs="宋体"/>
          <w:sz w:val="28"/>
          <w:szCs w:val="28"/>
        </w:rPr>
        <w:t xml:space="preserve">    二、申报数据所属评定年度为上一年度1月1日至12月31日。</w:t>
      </w:r>
    </w:p>
    <w:p>
      <w:pPr>
        <w:rPr>
          <w:rFonts w:ascii="宋体" w:hAnsi="宋体" w:cs="宋体"/>
          <w:sz w:val="28"/>
          <w:szCs w:val="28"/>
        </w:rPr>
      </w:pPr>
      <w:r>
        <w:rPr>
          <w:rFonts w:hint="eastAsia" w:ascii="宋体" w:hAnsi="宋体" w:cs="宋体"/>
          <w:sz w:val="28"/>
          <w:szCs w:val="28"/>
        </w:rPr>
        <w:t xml:space="preserve">    三、近两年是指评定年度并向前推一年。</w:t>
      </w:r>
    </w:p>
    <w:p>
      <w:pPr>
        <w:ind w:firstLine="560" w:firstLineChars="200"/>
        <w:rPr>
          <w:rFonts w:ascii="宋体" w:hAnsi="宋体" w:cs="宋体"/>
          <w:sz w:val="28"/>
          <w:szCs w:val="28"/>
        </w:rPr>
      </w:pPr>
      <w:r>
        <w:rPr>
          <w:rFonts w:hint="eastAsia" w:ascii="宋体" w:hAnsi="宋体" w:cs="宋体"/>
          <w:sz w:val="28"/>
          <w:szCs w:val="28"/>
        </w:rPr>
        <w:t>四、土地估价机构连续入会时间</w:t>
      </w:r>
    </w:p>
    <w:p>
      <w:pPr>
        <w:ind w:firstLine="560"/>
        <w:rPr>
          <w:rFonts w:ascii="宋体" w:hAnsi="宋体" w:cs="宋体"/>
          <w:sz w:val="28"/>
          <w:szCs w:val="28"/>
        </w:rPr>
      </w:pPr>
      <w:r>
        <w:rPr>
          <w:rFonts w:hint="eastAsia" w:ascii="宋体" w:hAnsi="宋体" w:cs="宋体"/>
          <w:sz w:val="28"/>
          <w:szCs w:val="28"/>
        </w:rPr>
        <w:t>土地估价机构加入省协会时间，不连续的以最后一次入会时间为准。</w:t>
      </w:r>
    </w:p>
    <w:p>
      <w:pPr>
        <w:ind w:firstLine="560"/>
        <w:rPr>
          <w:rFonts w:ascii="宋体" w:hAnsi="宋体" w:cs="宋体"/>
          <w:sz w:val="28"/>
          <w:szCs w:val="28"/>
        </w:rPr>
      </w:pPr>
      <w:r>
        <w:rPr>
          <w:rFonts w:hint="eastAsia" w:ascii="宋体" w:hAnsi="宋体" w:cs="宋体"/>
          <w:sz w:val="28"/>
          <w:szCs w:val="28"/>
        </w:rPr>
        <w:t>五、执业土地估价师</w:t>
      </w:r>
    </w:p>
    <w:p>
      <w:pPr>
        <w:ind w:firstLine="560"/>
        <w:rPr>
          <w:rFonts w:ascii="宋体" w:hAnsi="宋体" w:cs="宋体"/>
          <w:sz w:val="28"/>
          <w:szCs w:val="28"/>
        </w:rPr>
      </w:pPr>
      <w:r>
        <w:rPr>
          <w:rFonts w:hint="eastAsia" w:ascii="宋体" w:hAnsi="宋体" w:cs="宋体"/>
          <w:sz w:val="28"/>
          <w:szCs w:val="28"/>
        </w:rPr>
        <w:t>提交有效备案函和本年缴纳社保的证明。</w:t>
      </w:r>
    </w:p>
    <w:p>
      <w:pPr>
        <w:ind w:firstLine="560"/>
        <w:rPr>
          <w:rFonts w:ascii="宋体" w:hAnsi="宋体" w:cs="宋体"/>
          <w:sz w:val="28"/>
          <w:szCs w:val="28"/>
        </w:rPr>
      </w:pPr>
      <w:r>
        <w:rPr>
          <w:rFonts w:hint="eastAsia" w:ascii="宋体" w:hAnsi="宋体" w:cs="宋体"/>
          <w:sz w:val="28"/>
          <w:szCs w:val="28"/>
        </w:rPr>
        <w:t>六、技术负责人</w:t>
      </w:r>
    </w:p>
    <w:p>
      <w:pPr>
        <w:ind w:firstLine="560"/>
        <w:rPr>
          <w:rFonts w:ascii="宋体" w:hAnsi="宋体" w:cs="宋体"/>
          <w:sz w:val="28"/>
          <w:szCs w:val="28"/>
        </w:rPr>
      </w:pPr>
      <w:r>
        <w:rPr>
          <w:rFonts w:hint="eastAsia" w:ascii="宋体" w:hAnsi="宋体" w:cs="宋体"/>
          <w:sz w:val="28"/>
          <w:szCs w:val="28"/>
        </w:rPr>
        <w:t>提供公司任命文件。</w:t>
      </w:r>
    </w:p>
    <w:p>
      <w:pPr>
        <w:ind w:firstLine="560"/>
        <w:rPr>
          <w:rFonts w:ascii="宋体" w:hAnsi="宋体" w:cs="宋体"/>
          <w:sz w:val="28"/>
          <w:szCs w:val="28"/>
        </w:rPr>
      </w:pPr>
      <w:r>
        <w:rPr>
          <w:rFonts w:hint="eastAsia" w:ascii="宋体" w:hAnsi="宋体" w:cs="宋体"/>
          <w:sz w:val="28"/>
          <w:szCs w:val="28"/>
        </w:rPr>
        <w:t>七、报告三审制度、内部管理制度</w:t>
      </w:r>
    </w:p>
    <w:p>
      <w:pPr>
        <w:ind w:firstLine="560"/>
        <w:rPr>
          <w:rFonts w:ascii="宋体" w:hAnsi="宋体" w:cs="宋体"/>
          <w:sz w:val="28"/>
          <w:szCs w:val="28"/>
        </w:rPr>
      </w:pPr>
      <w:r>
        <w:rPr>
          <w:rFonts w:hint="eastAsia" w:ascii="宋体" w:hAnsi="宋体" w:cs="宋体"/>
          <w:sz w:val="28"/>
          <w:szCs w:val="28"/>
        </w:rPr>
        <w:t>1、有明确的、完善的业务报告三级审核制度；</w:t>
      </w:r>
    </w:p>
    <w:p>
      <w:pPr>
        <w:ind w:firstLine="560"/>
        <w:rPr>
          <w:rFonts w:ascii="宋体" w:hAnsi="宋体" w:cs="宋体"/>
          <w:sz w:val="28"/>
          <w:szCs w:val="28"/>
        </w:rPr>
      </w:pPr>
      <w:r>
        <w:rPr>
          <w:rFonts w:hint="eastAsia" w:ascii="宋体" w:hAnsi="宋体" w:cs="宋体"/>
          <w:sz w:val="28"/>
          <w:szCs w:val="28"/>
        </w:rPr>
        <w:t xml:space="preserve">2、财务管理制度、人事管理制度、档案管理制度、风险防控制度等内部管理制度。 </w:t>
      </w:r>
    </w:p>
    <w:p>
      <w:pPr>
        <w:ind w:firstLine="560"/>
        <w:rPr>
          <w:rFonts w:ascii="宋体" w:hAnsi="宋体" w:cs="宋体"/>
          <w:sz w:val="28"/>
          <w:szCs w:val="28"/>
        </w:rPr>
      </w:pPr>
      <w:r>
        <w:rPr>
          <w:rFonts w:hint="eastAsia" w:ascii="宋体" w:hAnsi="宋体" w:cs="宋体"/>
          <w:sz w:val="28"/>
          <w:szCs w:val="28"/>
        </w:rPr>
        <w:t>八、业内专家</w:t>
      </w:r>
    </w:p>
    <w:p>
      <w:pPr>
        <w:ind w:firstLine="560"/>
        <w:rPr>
          <w:rFonts w:ascii="宋体" w:hAnsi="宋体" w:cs="宋体"/>
          <w:sz w:val="28"/>
          <w:szCs w:val="28"/>
        </w:rPr>
      </w:pPr>
      <w:r>
        <w:rPr>
          <w:rFonts w:hint="eastAsia" w:ascii="宋体" w:hAnsi="宋体" w:cs="宋体"/>
          <w:sz w:val="28"/>
          <w:szCs w:val="28"/>
        </w:rPr>
        <w:t>业内专家包括自然资源部、省</w:t>
      </w:r>
      <w:r>
        <w:rPr>
          <w:rFonts w:hint="eastAsia" w:ascii="宋体" w:hAnsi="宋体" w:cs="宋体"/>
          <w:color w:val="000000"/>
          <w:sz w:val="28"/>
          <w:szCs w:val="28"/>
        </w:rPr>
        <w:t>自然资源厅</w:t>
      </w:r>
      <w:r>
        <w:rPr>
          <w:rFonts w:hint="eastAsia" w:ascii="宋体" w:hAnsi="宋体" w:cs="宋体"/>
          <w:sz w:val="28"/>
          <w:szCs w:val="28"/>
        </w:rPr>
        <w:t>、中估协、省协会专家，应提供专家聘书或文件。</w:t>
      </w:r>
    </w:p>
    <w:p>
      <w:pPr>
        <w:ind w:firstLine="560"/>
        <w:rPr>
          <w:rFonts w:ascii="宋体" w:hAnsi="宋体" w:cs="宋体"/>
          <w:sz w:val="28"/>
          <w:szCs w:val="28"/>
        </w:rPr>
      </w:pPr>
      <w:r>
        <w:rPr>
          <w:rFonts w:hint="eastAsia" w:ascii="宋体" w:hAnsi="宋体" w:cs="宋体"/>
          <w:sz w:val="28"/>
          <w:szCs w:val="28"/>
        </w:rPr>
        <w:t>九、参与行业活动</w:t>
      </w:r>
    </w:p>
    <w:p>
      <w:pPr>
        <w:ind w:firstLine="560"/>
        <w:rPr>
          <w:rFonts w:ascii="宋体" w:hAnsi="宋体" w:cs="宋体"/>
          <w:sz w:val="28"/>
          <w:szCs w:val="28"/>
        </w:rPr>
      </w:pPr>
      <w:r>
        <w:rPr>
          <w:rFonts w:hint="eastAsia" w:ascii="宋体" w:hAnsi="宋体" w:cs="宋体"/>
          <w:sz w:val="28"/>
          <w:szCs w:val="28"/>
        </w:rPr>
        <w:t>评定年度参与自然资源部、省自然资源厅、中估价、省协会活动（党建、座谈、报告审查、论证、技术研讨会等），应提供相应证明材料。</w:t>
      </w:r>
    </w:p>
    <w:p>
      <w:pPr>
        <w:ind w:firstLine="560" w:firstLineChars="200"/>
        <w:rPr>
          <w:rFonts w:ascii="宋体" w:hAnsi="宋体" w:cs="宋体"/>
          <w:sz w:val="28"/>
          <w:szCs w:val="28"/>
        </w:rPr>
      </w:pPr>
      <w:r>
        <w:rPr>
          <w:rFonts w:hint="eastAsia" w:ascii="宋体" w:hAnsi="宋体" w:cs="宋体"/>
          <w:sz w:val="28"/>
          <w:szCs w:val="28"/>
        </w:rPr>
        <w:t>十、学术论文</w:t>
      </w:r>
    </w:p>
    <w:p>
      <w:pPr>
        <w:ind w:firstLine="560" w:firstLineChars="200"/>
        <w:rPr>
          <w:rFonts w:ascii="宋体" w:hAnsi="宋体" w:cs="宋体"/>
          <w:sz w:val="28"/>
          <w:szCs w:val="28"/>
        </w:rPr>
      </w:pPr>
      <w:r>
        <w:rPr>
          <w:rFonts w:hint="eastAsia" w:ascii="宋体" w:hAnsi="宋体" w:cs="宋体"/>
          <w:sz w:val="28"/>
          <w:szCs w:val="28"/>
        </w:rPr>
        <w:t>近两年在中估价、省协会得奖的论文或在正式报刊杂志发表的论文。</w:t>
      </w:r>
    </w:p>
    <w:p>
      <w:pPr>
        <w:ind w:firstLine="560" w:firstLineChars="200"/>
        <w:rPr>
          <w:rFonts w:ascii="宋体" w:hAnsi="宋体" w:cs="宋体"/>
          <w:sz w:val="28"/>
          <w:szCs w:val="28"/>
        </w:rPr>
      </w:pPr>
      <w:r>
        <w:rPr>
          <w:rFonts w:hint="eastAsia" w:ascii="宋体" w:hAnsi="宋体" w:cs="宋体"/>
          <w:sz w:val="28"/>
          <w:szCs w:val="28"/>
        </w:rPr>
        <w:t>十一、社会公益</w:t>
      </w:r>
    </w:p>
    <w:p>
      <w:pPr>
        <w:ind w:firstLine="560" w:firstLineChars="200"/>
        <w:rPr>
          <w:rFonts w:ascii="宋体" w:hAnsi="宋体" w:cs="宋体"/>
          <w:sz w:val="28"/>
          <w:szCs w:val="28"/>
        </w:rPr>
      </w:pPr>
      <w:r>
        <w:rPr>
          <w:rFonts w:hint="eastAsia" w:ascii="宋体" w:hAnsi="宋体" w:cs="宋体"/>
          <w:sz w:val="28"/>
          <w:szCs w:val="28"/>
        </w:rPr>
        <w:t>评定年度机构及其员工参与公益献爱心活动的相关证明及社保材料。</w:t>
      </w:r>
    </w:p>
    <w:p>
      <w:pPr>
        <w:ind w:firstLine="560" w:firstLineChars="200"/>
        <w:rPr>
          <w:rFonts w:ascii="宋体" w:hAnsi="宋体" w:cs="宋体"/>
          <w:sz w:val="28"/>
          <w:szCs w:val="28"/>
        </w:rPr>
      </w:pPr>
      <w:r>
        <w:rPr>
          <w:rFonts w:hint="eastAsia" w:ascii="宋体" w:hAnsi="宋体" w:cs="宋体"/>
          <w:sz w:val="28"/>
          <w:szCs w:val="28"/>
        </w:rPr>
        <w:t>十二、表彰奖励</w:t>
      </w:r>
    </w:p>
    <w:p>
      <w:pPr>
        <w:ind w:firstLine="560" w:firstLineChars="200"/>
        <w:rPr>
          <w:rFonts w:ascii="宋体" w:hAnsi="宋体" w:cs="宋体"/>
          <w:sz w:val="28"/>
          <w:szCs w:val="28"/>
        </w:rPr>
      </w:pPr>
      <w:r>
        <w:rPr>
          <w:rFonts w:hint="eastAsia" w:ascii="宋体" w:hAnsi="宋体" w:cs="宋体"/>
          <w:sz w:val="28"/>
          <w:szCs w:val="28"/>
        </w:rPr>
        <w:t>评定年度省、市、县有关行政部门对机构和主要负责人的表彰奖励，提供相关的文件或证书。</w:t>
      </w:r>
    </w:p>
    <w:p>
      <w:pPr>
        <w:ind w:firstLine="560" w:firstLineChars="200"/>
        <w:rPr>
          <w:rFonts w:ascii="宋体" w:hAnsi="宋体" w:cs="宋体"/>
          <w:sz w:val="28"/>
          <w:szCs w:val="28"/>
        </w:rPr>
      </w:pPr>
      <w:r>
        <w:rPr>
          <w:rFonts w:hint="eastAsia" w:ascii="宋体" w:hAnsi="宋体" w:cs="宋体"/>
          <w:sz w:val="28"/>
          <w:szCs w:val="28"/>
        </w:rPr>
        <w:t>十三、课题研究</w:t>
      </w:r>
    </w:p>
    <w:p>
      <w:pPr>
        <w:ind w:firstLine="560" w:firstLineChars="200"/>
        <w:rPr>
          <w:rFonts w:ascii="宋体" w:hAnsi="宋体" w:cs="宋体"/>
          <w:sz w:val="28"/>
          <w:szCs w:val="28"/>
        </w:rPr>
      </w:pPr>
      <w:r>
        <w:rPr>
          <w:rFonts w:hint="eastAsia" w:ascii="宋体" w:hAnsi="宋体" w:cs="宋体"/>
          <w:sz w:val="28"/>
          <w:szCs w:val="28"/>
        </w:rPr>
        <w:t xml:space="preserve"> 近两年市级以上行政单位或土地估价行业协会课题，列明名称、验收意见、获奖证书等。</w:t>
      </w:r>
    </w:p>
    <w:p>
      <w:pPr>
        <w:ind w:firstLine="560" w:firstLineChars="200"/>
        <w:rPr>
          <w:rFonts w:ascii="宋体" w:hAnsi="宋体" w:cs="宋体"/>
          <w:sz w:val="28"/>
          <w:szCs w:val="28"/>
        </w:rPr>
      </w:pPr>
      <w:r>
        <w:rPr>
          <w:rFonts w:hint="eastAsia" w:ascii="宋体" w:hAnsi="宋体" w:cs="宋体"/>
          <w:sz w:val="28"/>
          <w:szCs w:val="28"/>
        </w:rPr>
        <w:t>十四、业务拓展</w:t>
      </w:r>
    </w:p>
    <w:p>
      <w:pPr>
        <w:ind w:firstLine="560" w:firstLineChars="200"/>
        <w:rPr>
          <w:rFonts w:ascii="宋体" w:hAnsi="宋体" w:cs="宋体"/>
          <w:sz w:val="28"/>
          <w:szCs w:val="28"/>
        </w:rPr>
      </w:pPr>
      <w:r>
        <w:rPr>
          <w:rFonts w:hint="eastAsia" w:ascii="宋体" w:hAnsi="宋体" w:cs="宋体"/>
          <w:sz w:val="28"/>
          <w:szCs w:val="28"/>
        </w:rPr>
        <w:t>评定年度宗地评估之外的其他自然资源评估评价业务。</w:t>
      </w:r>
    </w:p>
    <w:p>
      <w:pPr>
        <w:ind w:firstLine="560" w:firstLineChars="200"/>
        <w:rPr>
          <w:rFonts w:ascii="宋体" w:hAnsi="宋体" w:cs="宋体"/>
          <w:sz w:val="28"/>
          <w:szCs w:val="28"/>
        </w:rPr>
      </w:pPr>
      <w:r>
        <w:rPr>
          <w:rFonts w:hint="eastAsia" w:ascii="宋体" w:hAnsi="宋体" w:cs="宋体"/>
          <w:sz w:val="28"/>
          <w:szCs w:val="28"/>
        </w:rPr>
        <w:t>十五、其他</w:t>
      </w:r>
    </w:p>
    <w:p>
      <w:pPr>
        <w:ind w:firstLine="560" w:firstLineChars="200"/>
        <w:rPr>
          <w:rFonts w:ascii="宋体" w:hAnsi="宋体" w:cs="宋体"/>
          <w:sz w:val="28"/>
          <w:szCs w:val="28"/>
        </w:rPr>
      </w:pPr>
      <w:r>
        <w:rPr>
          <w:rFonts w:hint="eastAsia" w:ascii="宋体" w:hAnsi="宋体" w:cs="宋体"/>
          <w:sz w:val="28"/>
          <w:szCs w:val="28"/>
        </w:rPr>
        <w:t>评定年度对协会或行业有突出贡献等情况。</w:t>
      </w:r>
    </w:p>
    <w:p>
      <w:pPr>
        <w:ind w:firstLine="560" w:firstLineChars="200"/>
        <w:rPr>
          <w:rFonts w:ascii="宋体" w:hAnsi="宋体" w:cs="宋体"/>
          <w:sz w:val="28"/>
          <w:szCs w:val="28"/>
        </w:rPr>
      </w:pPr>
    </w:p>
    <w:p>
      <w:pPr>
        <w:ind w:firstLine="560" w:firstLineChars="200"/>
        <w:rPr>
          <w:rFonts w:ascii="宋体" w:hAnsi="宋体" w:cs="宋体"/>
          <w:sz w:val="28"/>
          <w:szCs w:val="28"/>
        </w:rPr>
      </w:pPr>
    </w:p>
    <w:p>
      <w:pPr>
        <w:ind w:firstLine="560" w:firstLineChars="200"/>
        <w:rPr>
          <w:rFonts w:ascii="宋体" w:hAnsi="宋体" w:cs="宋体"/>
          <w:sz w:val="28"/>
          <w:szCs w:val="28"/>
        </w:rPr>
      </w:pPr>
    </w:p>
    <w:p>
      <w:pPr>
        <w:widowControl/>
        <w:rPr>
          <w:rFonts w:ascii="宋体" w:hAnsi="宋体" w:cs="宋体"/>
          <w:kern w:val="0"/>
          <w:sz w:val="36"/>
          <w:szCs w:val="36"/>
        </w:rPr>
      </w:pPr>
    </w:p>
    <w:tbl>
      <w:tblPr>
        <w:tblStyle w:val="8"/>
        <w:tblW w:w="9304" w:type="dxa"/>
        <w:tblInd w:w="-4" w:type="dxa"/>
        <w:tblLayout w:type="fixed"/>
        <w:tblCellMar>
          <w:top w:w="0" w:type="dxa"/>
          <w:left w:w="108" w:type="dxa"/>
          <w:bottom w:w="0" w:type="dxa"/>
          <w:right w:w="108" w:type="dxa"/>
        </w:tblCellMar>
      </w:tblPr>
      <w:tblGrid>
        <w:gridCol w:w="1095"/>
        <w:gridCol w:w="1724"/>
        <w:gridCol w:w="881"/>
        <w:gridCol w:w="3523"/>
        <w:gridCol w:w="1313"/>
        <w:gridCol w:w="768"/>
      </w:tblGrid>
      <w:tr>
        <w:tblPrEx>
          <w:tblCellMar>
            <w:top w:w="0" w:type="dxa"/>
            <w:left w:w="108" w:type="dxa"/>
            <w:bottom w:w="0" w:type="dxa"/>
            <w:right w:w="108" w:type="dxa"/>
          </w:tblCellMar>
        </w:tblPrEx>
        <w:trPr>
          <w:trHeight w:val="986" w:hRule="atLeast"/>
        </w:trPr>
        <w:tc>
          <w:tcPr>
            <w:tcW w:w="9304" w:type="dxa"/>
            <w:gridSpan w:val="6"/>
            <w:tcBorders>
              <w:top w:val="nil"/>
              <w:left w:val="nil"/>
              <w:bottom w:val="nil"/>
              <w:right w:val="nil"/>
            </w:tcBorders>
            <w:noWrap/>
            <w:vAlign w:val="center"/>
          </w:tcPr>
          <w:p>
            <w:pPr>
              <w:rPr>
                <w:rFonts w:ascii="宋体" w:hAnsi="宋体" w:cs="宋体"/>
                <w:kern w:val="0"/>
                <w:szCs w:val="21"/>
              </w:rPr>
            </w:pPr>
            <w:r>
              <w:rPr>
                <w:rFonts w:hint="eastAsia" w:ascii="宋体" w:hAnsi="宋体" w:cs="宋体"/>
                <w:sz w:val="28"/>
                <w:szCs w:val="28"/>
              </w:rPr>
              <w:br w:type="page"/>
            </w:r>
            <w:r>
              <w:rPr>
                <w:rFonts w:hint="eastAsia" w:ascii="宋体" w:hAnsi="宋体" w:cs="宋体"/>
                <w:szCs w:val="21"/>
              </w:rPr>
              <w:t>附件2</w:t>
            </w:r>
          </w:p>
          <w:p>
            <w:pPr>
              <w:widowControl/>
              <w:jc w:val="center"/>
              <w:rPr>
                <w:rFonts w:ascii="宋体" w:hAnsi="宋体" w:cs="宋体"/>
                <w:kern w:val="0"/>
                <w:sz w:val="36"/>
                <w:szCs w:val="36"/>
              </w:rPr>
            </w:pPr>
            <w:r>
              <w:rPr>
                <w:rFonts w:hint="eastAsia" w:ascii="宋体" w:hAnsi="宋体" w:cs="宋体"/>
                <w:kern w:val="0"/>
                <w:sz w:val="36"/>
                <w:szCs w:val="36"/>
              </w:rPr>
              <w:t>河南省土地估价机构资信评定评分标准</w:t>
            </w:r>
          </w:p>
        </w:tc>
      </w:tr>
      <w:tr>
        <w:tblPrEx>
          <w:tblCellMar>
            <w:top w:w="0" w:type="dxa"/>
            <w:left w:w="108" w:type="dxa"/>
            <w:bottom w:w="0" w:type="dxa"/>
            <w:right w:w="108" w:type="dxa"/>
          </w:tblCellMar>
        </w:tblPrEx>
        <w:trPr>
          <w:trHeight w:val="515" w:hRule="atLeast"/>
        </w:trPr>
        <w:tc>
          <w:tcPr>
            <w:tcW w:w="1095" w:type="dxa"/>
            <w:tcBorders>
              <w:top w:val="single" w:color="auto" w:sz="8" w:space="0"/>
              <w:left w:val="single" w:color="auto" w:sz="8" w:space="0"/>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项目</w:t>
            </w:r>
          </w:p>
        </w:tc>
        <w:tc>
          <w:tcPr>
            <w:tcW w:w="1724" w:type="dxa"/>
            <w:tcBorders>
              <w:top w:val="single" w:color="auto" w:sz="8" w:space="0"/>
              <w:left w:val="nil"/>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指标及内容</w:t>
            </w:r>
          </w:p>
        </w:tc>
        <w:tc>
          <w:tcPr>
            <w:tcW w:w="881" w:type="dxa"/>
            <w:tcBorders>
              <w:top w:val="single" w:color="auto" w:sz="8" w:space="0"/>
              <w:left w:val="nil"/>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分值（分）</w:t>
            </w:r>
          </w:p>
        </w:tc>
        <w:tc>
          <w:tcPr>
            <w:tcW w:w="3523" w:type="dxa"/>
            <w:tcBorders>
              <w:top w:val="single" w:color="auto" w:sz="8" w:space="0"/>
              <w:left w:val="nil"/>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标准</w:t>
            </w:r>
          </w:p>
        </w:tc>
        <w:tc>
          <w:tcPr>
            <w:tcW w:w="1313" w:type="dxa"/>
            <w:tcBorders>
              <w:top w:val="single" w:color="auto" w:sz="8" w:space="0"/>
              <w:left w:val="nil"/>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依据</w:t>
            </w:r>
          </w:p>
        </w:tc>
        <w:tc>
          <w:tcPr>
            <w:tcW w:w="768" w:type="dxa"/>
            <w:tcBorders>
              <w:top w:val="single" w:color="auto" w:sz="8" w:space="0"/>
              <w:left w:val="nil"/>
              <w:bottom w:val="single" w:color="000000" w:sz="4" w:space="0"/>
              <w:right w:val="single" w:color="auto" w:sz="8" w:space="0"/>
            </w:tcBorders>
            <w:noWrap/>
            <w:vAlign w:val="center"/>
          </w:tcPr>
          <w:p>
            <w:pPr>
              <w:widowControl/>
              <w:jc w:val="center"/>
              <w:rPr>
                <w:rFonts w:ascii="宋体" w:hAnsi="宋体" w:cs="宋体"/>
                <w:kern w:val="0"/>
                <w:sz w:val="24"/>
              </w:rPr>
            </w:pPr>
            <w:r>
              <w:rPr>
                <w:rFonts w:hint="eastAsia" w:ascii="宋体" w:hAnsi="宋体" w:cs="宋体"/>
                <w:kern w:val="0"/>
                <w:sz w:val="24"/>
              </w:rPr>
              <w:t>得分</w:t>
            </w:r>
          </w:p>
        </w:tc>
      </w:tr>
      <w:tr>
        <w:tblPrEx>
          <w:tblCellMar>
            <w:top w:w="0" w:type="dxa"/>
            <w:left w:w="108" w:type="dxa"/>
            <w:bottom w:w="0" w:type="dxa"/>
            <w:right w:w="108" w:type="dxa"/>
          </w:tblCellMar>
        </w:tblPrEx>
        <w:trPr>
          <w:trHeight w:val="381" w:hRule="atLeast"/>
        </w:trPr>
        <w:tc>
          <w:tcPr>
            <w:tcW w:w="1095" w:type="dxa"/>
            <w:vMerge w:val="restart"/>
            <w:tcBorders>
              <w:top w:val="nil"/>
              <w:left w:val="single" w:color="auto" w:sz="8"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基本   情况   （31分）</w:t>
            </w:r>
          </w:p>
        </w:tc>
        <w:tc>
          <w:tcPr>
            <w:tcW w:w="1724" w:type="dxa"/>
            <w:vMerge w:val="restart"/>
            <w:tcBorders>
              <w:top w:val="single" w:color="auto" w:sz="4" w:space="0"/>
              <w:left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土地估价机构</w:t>
            </w:r>
          </w:p>
          <w:p>
            <w:pPr>
              <w:widowControl/>
              <w:jc w:val="center"/>
              <w:rPr>
                <w:rFonts w:ascii="宋体" w:hAnsi="宋体" w:cs="宋体"/>
                <w:kern w:val="0"/>
                <w:sz w:val="24"/>
              </w:rPr>
            </w:pPr>
            <w:r>
              <w:rPr>
                <w:rFonts w:hint="eastAsia" w:ascii="宋体" w:hAnsi="宋体" w:cs="宋体"/>
                <w:kern w:val="0"/>
                <w:sz w:val="24"/>
              </w:rPr>
              <w:t>连续入会时间</w:t>
            </w:r>
          </w:p>
        </w:tc>
        <w:tc>
          <w:tcPr>
            <w:tcW w:w="881" w:type="dxa"/>
            <w:vMerge w:val="restart"/>
            <w:tcBorders>
              <w:top w:val="single" w:color="auto" w:sz="4" w:space="0"/>
              <w:left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8</w:t>
            </w:r>
          </w:p>
        </w:tc>
        <w:tc>
          <w:tcPr>
            <w:tcW w:w="3523"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kern w:val="0"/>
                <w:sz w:val="24"/>
              </w:rPr>
            </w:pPr>
            <w:r>
              <w:rPr>
                <w:rFonts w:hint="eastAsia" w:ascii="宋体" w:hAnsi="宋体" w:cs="宋体"/>
                <w:kern w:val="0"/>
                <w:sz w:val="24"/>
              </w:rPr>
              <w:t>≥20年   8分</w:t>
            </w:r>
          </w:p>
        </w:tc>
        <w:tc>
          <w:tcPr>
            <w:tcW w:w="1313" w:type="dxa"/>
            <w:vMerge w:val="restart"/>
            <w:tcBorders>
              <w:top w:val="single" w:color="auto" w:sz="4" w:space="0"/>
              <w:left w:val="single" w:color="auto" w:sz="4" w:space="0"/>
              <w:right w:val="single" w:color="000000" w:sz="4" w:space="0"/>
            </w:tcBorders>
            <w:vAlign w:val="center"/>
          </w:tcPr>
          <w:p>
            <w:pPr>
              <w:widowControl/>
              <w:rPr>
                <w:rFonts w:ascii="宋体" w:hAnsi="宋体" w:cs="宋体"/>
                <w:kern w:val="0"/>
                <w:sz w:val="24"/>
              </w:rPr>
            </w:pPr>
            <w:r>
              <w:rPr>
                <w:rFonts w:hint="eastAsia" w:ascii="宋体" w:hAnsi="宋体" w:cs="宋体"/>
                <w:kern w:val="0"/>
                <w:sz w:val="24"/>
              </w:rPr>
              <w:t>机构入会时间证明及协会记录</w:t>
            </w:r>
          </w:p>
        </w:tc>
        <w:tc>
          <w:tcPr>
            <w:tcW w:w="768" w:type="dxa"/>
            <w:vMerge w:val="restart"/>
            <w:tcBorders>
              <w:top w:val="single" w:color="000000" w:sz="4" w:space="0"/>
              <w:left w:val="single" w:color="000000" w:sz="4" w:space="0"/>
              <w:right w:val="single" w:color="000000" w:sz="4" w:space="0"/>
            </w:tcBorders>
            <w:noWrap/>
            <w:vAlign w:val="center"/>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387" w:hRule="atLeast"/>
        </w:trPr>
        <w:tc>
          <w:tcPr>
            <w:tcW w:w="1095" w:type="dxa"/>
            <w:vMerge w:val="continue"/>
            <w:tcBorders>
              <w:left w:val="single" w:color="auto" w:sz="8" w:space="0"/>
              <w:right w:val="single" w:color="auto" w:sz="4" w:space="0"/>
            </w:tcBorders>
            <w:vAlign w:val="center"/>
          </w:tcPr>
          <w:p/>
        </w:tc>
        <w:tc>
          <w:tcPr>
            <w:tcW w:w="1724" w:type="dxa"/>
            <w:vMerge w:val="continue"/>
            <w:tcBorders>
              <w:left w:val="single" w:color="auto" w:sz="4" w:space="0"/>
              <w:bottom w:val="single" w:color="auto" w:sz="4" w:space="0"/>
              <w:right w:val="single" w:color="auto" w:sz="4" w:space="0"/>
            </w:tcBorders>
            <w:vAlign w:val="center"/>
          </w:tcPr>
          <w:p/>
        </w:tc>
        <w:tc>
          <w:tcPr>
            <w:tcW w:w="881" w:type="dxa"/>
            <w:vMerge w:val="continue"/>
            <w:tcBorders>
              <w:left w:val="single" w:color="auto" w:sz="4" w:space="0"/>
              <w:bottom w:val="single" w:color="auto" w:sz="4" w:space="0"/>
              <w:right w:val="single" w:color="auto" w:sz="4" w:space="0"/>
            </w:tcBorders>
            <w:noWrap/>
            <w:vAlign w:val="center"/>
          </w:tcPr>
          <w:p/>
        </w:tc>
        <w:tc>
          <w:tcPr>
            <w:tcW w:w="3523"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kern w:val="0"/>
                <w:sz w:val="24"/>
              </w:rPr>
            </w:pPr>
            <w:r>
              <w:rPr>
                <w:rFonts w:hint="eastAsia" w:ascii="宋体" w:hAnsi="宋体" w:cs="宋体"/>
                <w:kern w:val="0"/>
                <w:sz w:val="24"/>
              </w:rPr>
              <w:t>10-19年  6分</w:t>
            </w:r>
          </w:p>
        </w:tc>
        <w:tc>
          <w:tcPr>
            <w:tcW w:w="1313" w:type="dxa"/>
            <w:vMerge w:val="continue"/>
            <w:tcBorders>
              <w:left w:val="single" w:color="auto" w:sz="4" w:space="0"/>
              <w:bottom w:val="single" w:color="auto" w:sz="4" w:space="0"/>
              <w:right w:val="single" w:color="000000" w:sz="4" w:space="0"/>
            </w:tcBorders>
            <w:vAlign w:val="center"/>
          </w:tcPr>
          <w:p>
            <w:pPr>
              <w:rPr>
                <w:rFonts w:ascii="宋体" w:hAnsi="宋体" w:cs="宋体"/>
                <w:kern w:val="0"/>
                <w:sz w:val="24"/>
              </w:rPr>
            </w:pPr>
          </w:p>
        </w:tc>
        <w:tc>
          <w:tcPr>
            <w:tcW w:w="768" w:type="dxa"/>
            <w:vMerge w:val="continue"/>
            <w:tcBorders>
              <w:left w:val="single" w:color="000000" w:sz="4" w:space="0"/>
              <w:bottom w:val="single" w:color="000000" w:sz="4" w:space="0"/>
              <w:right w:val="single" w:color="000000" w:sz="4" w:space="0"/>
            </w:tcBorders>
            <w:noWrap/>
            <w:vAlign w:val="center"/>
          </w:tcPr>
          <w:p>
            <w:pPr>
              <w:rPr>
                <w:rFonts w:ascii="宋体" w:hAnsi="宋体" w:cs="宋体"/>
                <w:kern w:val="0"/>
                <w:sz w:val="24"/>
              </w:rPr>
            </w:pPr>
          </w:p>
        </w:tc>
      </w:tr>
      <w:tr>
        <w:tblPrEx>
          <w:tblCellMar>
            <w:top w:w="0" w:type="dxa"/>
            <w:left w:w="108" w:type="dxa"/>
            <w:bottom w:w="0" w:type="dxa"/>
            <w:right w:w="108" w:type="dxa"/>
          </w:tblCellMar>
        </w:tblPrEx>
        <w:trPr>
          <w:trHeight w:val="423" w:hRule="atLeast"/>
        </w:trPr>
        <w:tc>
          <w:tcPr>
            <w:tcW w:w="1095" w:type="dxa"/>
            <w:vMerge w:val="continue"/>
            <w:tcBorders>
              <w:top w:val="nil"/>
              <w:left w:val="single" w:color="auto" w:sz="8" w:space="0"/>
              <w:right w:val="single" w:color="auto" w:sz="4" w:space="0"/>
            </w:tcBorders>
            <w:vAlign w:val="center"/>
          </w:tcPr>
          <w:p>
            <w:pPr>
              <w:widowControl/>
              <w:jc w:val="center"/>
              <w:rPr>
                <w:rFonts w:ascii="宋体" w:hAnsi="宋体" w:cs="宋体"/>
                <w:kern w:val="0"/>
                <w:sz w:val="24"/>
              </w:rPr>
            </w:pPr>
          </w:p>
        </w:tc>
        <w:tc>
          <w:tcPr>
            <w:tcW w:w="1724"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p>
        </w:tc>
        <w:tc>
          <w:tcPr>
            <w:tcW w:w="881"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kern w:val="0"/>
                <w:sz w:val="24"/>
              </w:rPr>
            </w:pPr>
          </w:p>
        </w:tc>
        <w:tc>
          <w:tcPr>
            <w:tcW w:w="3523" w:type="dxa"/>
            <w:tcBorders>
              <w:top w:val="single" w:color="auto" w:sz="4" w:space="0"/>
              <w:left w:val="single" w:color="auto" w:sz="4" w:space="0"/>
              <w:bottom w:val="single" w:color="auto" w:sz="4" w:space="0"/>
              <w:right w:val="single" w:color="auto" w:sz="4" w:space="0"/>
            </w:tcBorders>
            <w:noWrap/>
            <w:vAlign w:val="center"/>
          </w:tcPr>
          <w:p>
            <w:pPr>
              <w:widowControl/>
              <w:rPr>
                <w:rFonts w:ascii="宋体" w:hAnsi="宋体" w:cs="宋体"/>
                <w:kern w:val="0"/>
                <w:sz w:val="24"/>
              </w:rPr>
            </w:pPr>
            <w:r>
              <w:rPr>
                <w:rFonts w:hint="eastAsia" w:ascii="宋体" w:hAnsi="宋体" w:cs="宋体"/>
                <w:kern w:val="0"/>
                <w:sz w:val="24"/>
              </w:rPr>
              <w:t>5-9年 4分</w:t>
            </w:r>
          </w:p>
        </w:tc>
        <w:tc>
          <w:tcPr>
            <w:tcW w:w="1313" w:type="dxa"/>
            <w:vMerge w:val="continue"/>
            <w:tcBorders>
              <w:top w:val="single" w:color="auto" w:sz="4" w:space="0"/>
              <w:left w:val="single" w:color="auto" w:sz="4" w:space="0"/>
              <w:bottom w:val="single" w:color="auto" w:sz="4" w:space="0"/>
              <w:right w:val="single" w:color="000000" w:sz="4" w:space="0"/>
            </w:tcBorders>
            <w:vAlign w:val="center"/>
          </w:tcPr>
          <w:p>
            <w:pPr>
              <w:widowControl/>
              <w:rPr>
                <w:rFonts w:ascii="宋体" w:hAnsi="宋体" w:cs="宋体"/>
                <w:kern w:val="0"/>
                <w:sz w:val="24"/>
              </w:rPr>
            </w:pPr>
          </w:p>
        </w:tc>
        <w:tc>
          <w:tcPr>
            <w:tcW w:w="768"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kern w:val="0"/>
                <w:sz w:val="24"/>
              </w:rPr>
            </w:pPr>
          </w:p>
        </w:tc>
      </w:tr>
      <w:tr>
        <w:tblPrEx>
          <w:tblCellMar>
            <w:top w:w="0" w:type="dxa"/>
            <w:left w:w="108" w:type="dxa"/>
            <w:bottom w:w="0" w:type="dxa"/>
            <w:right w:w="108" w:type="dxa"/>
          </w:tblCellMar>
        </w:tblPrEx>
        <w:trPr>
          <w:trHeight w:val="427" w:hRule="atLeast"/>
        </w:trPr>
        <w:tc>
          <w:tcPr>
            <w:tcW w:w="1095" w:type="dxa"/>
            <w:vMerge w:val="continue"/>
            <w:tcBorders>
              <w:left w:val="single" w:color="auto" w:sz="8" w:space="0"/>
              <w:right w:val="single" w:color="auto" w:sz="4" w:space="0"/>
            </w:tcBorders>
            <w:vAlign w:val="center"/>
          </w:tcPr>
          <w:p>
            <w:pPr>
              <w:widowControl/>
              <w:jc w:val="left"/>
              <w:rPr>
                <w:rFonts w:ascii="宋体" w:hAnsi="宋体" w:cs="宋体"/>
                <w:kern w:val="0"/>
                <w:sz w:val="24"/>
              </w:rPr>
            </w:pPr>
          </w:p>
        </w:tc>
        <w:tc>
          <w:tcPr>
            <w:tcW w:w="172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881"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p>
        </w:tc>
        <w:tc>
          <w:tcPr>
            <w:tcW w:w="3523"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kern w:val="0"/>
                <w:sz w:val="24"/>
              </w:rPr>
            </w:pPr>
            <w:r>
              <w:rPr>
                <w:rFonts w:hint="eastAsia" w:ascii="宋体" w:hAnsi="宋体" w:cs="宋体"/>
                <w:kern w:val="0"/>
                <w:sz w:val="24"/>
              </w:rPr>
              <w:t>&lt;5年   2分</w:t>
            </w:r>
          </w:p>
        </w:tc>
        <w:tc>
          <w:tcPr>
            <w:tcW w:w="1313" w:type="dxa"/>
            <w:vMerge w:val="continue"/>
            <w:tcBorders>
              <w:top w:val="single" w:color="auto" w:sz="4" w:space="0"/>
              <w:left w:val="single" w:color="auto" w:sz="4" w:space="0"/>
              <w:bottom w:val="single" w:color="auto" w:sz="4" w:space="0"/>
              <w:right w:val="single" w:color="000000" w:sz="4" w:space="0"/>
            </w:tcBorders>
            <w:vAlign w:val="center"/>
          </w:tcPr>
          <w:p>
            <w:pPr>
              <w:widowControl/>
              <w:rPr>
                <w:rFonts w:ascii="宋体" w:hAnsi="宋体" w:cs="宋体"/>
                <w:kern w:val="0"/>
                <w:sz w:val="24"/>
              </w:rPr>
            </w:pPr>
          </w:p>
        </w:tc>
        <w:tc>
          <w:tcPr>
            <w:tcW w:w="76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kern w:val="0"/>
                <w:sz w:val="24"/>
              </w:rPr>
            </w:pPr>
          </w:p>
        </w:tc>
      </w:tr>
      <w:tr>
        <w:tblPrEx>
          <w:tblCellMar>
            <w:top w:w="0" w:type="dxa"/>
            <w:left w:w="108" w:type="dxa"/>
            <w:bottom w:w="0" w:type="dxa"/>
            <w:right w:w="108" w:type="dxa"/>
          </w:tblCellMar>
        </w:tblPrEx>
        <w:trPr>
          <w:trHeight w:val="546" w:hRule="atLeast"/>
        </w:trPr>
        <w:tc>
          <w:tcPr>
            <w:tcW w:w="1095" w:type="dxa"/>
            <w:vMerge w:val="continue"/>
            <w:tcBorders>
              <w:left w:val="single" w:color="auto" w:sz="8" w:space="0"/>
              <w:right w:val="single" w:color="auto" w:sz="4" w:space="0"/>
            </w:tcBorders>
            <w:vAlign w:val="center"/>
          </w:tcPr>
          <w:p>
            <w:pPr>
              <w:widowControl/>
              <w:jc w:val="left"/>
              <w:rPr>
                <w:rFonts w:ascii="宋体" w:hAnsi="宋体" w:cs="宋体"/>
                <w:kern w:val="0"/>
                <w:sz w:val="24"/>
              </w:rPr>
            </w:pPr>
          </w:p>
        </w:tc>
        <w:tc>
          <w:tcPr>
            <w:tcW w:w="172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执业土地</w:t>
            </w:r>
          </w:p>
          <w:p>
            <w:pPr>
              <w:widowControl/>
              <w:jc w:val="center"/>
              <w:rPr>
                <w:rFonts w:ascii="宋体" w:hAnsi="宋体" w:cs="宋体"/>
                <w:kern w:val="0"/>
                <w:sz w:val="24"/>
              </w:rPr>
            </w:pPr>
            <w:r>
              <w:rPr>
                <w:rFonts w:hint="eastAsia" w:ascii="宋体" w:hAnsi="宋体" w:cs="宋体"/>
                <w:kern w:val="0"/>
                <w:sz w:val="24"/>
              </w:rPr>
              <w:t>估价师人数</w:t>
            </w:r>
          </w:p>
        </w:tc>
        <w:tc>
          <w:tcPr>
            <w:tcW w:w="88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8</w:t>
            </w:r>
          </w:p>
        </w:tc>
        <w:tc>
          <w:tcPr>
            <w:tcW w:w="3523" w:type="dxa"/>
            <w:tcBorders>
              <w:top w:val="single" w:color="auto" w:sz="4" w:space="0"/>
              <w:left w:val="single" w:color="auto" w:sz="4" w:space="0"/>
              <w:bottom w:val="single" w:color="auto" w:sz="4" w:space="0"/>
              <w:right w:val="single" w:color="auto" w:sz="4" w:space="0"/>
            </w:tcBorders>
            <w:noWrap/>
            <w:vAlign w:val="center"/>
          </w:tcPr>
          <w:p>
            <w:pPr>
              <w:widowControl/>
              <w:rPr>
                <w:rFonts w:ascii="宋体" w:hAnsi="宋体" w:cs="宋体"/>
                <w:kern w:val="0"/>
                <w:sz w:val="24"/>
              </w:rPr>
            </w:pPr>
            <w:r>
              <w:rPr>
                <w:rFonts w:hint="eastAsia" w:ascii="宋体" w:hAnsi="宋体" w:cs="宋体"/>
                <w:kern w:val="0"/>
                <w:sz w:val="24"/>
              </w:rPr>
              <w:t>1名估价师1分</w:t>
            </w:r>
          </w:p>
        </w:tc>
        <w:tc>
          <w:tcPr>
            <w:tcW w:w="1313" w:type="dxa"/>
            <w:vMerge w:val="restart"/>
            <w:tcBorders>
              <w:top w:val="single" w:color="auto" w:sz="4" w:space="0"/>
              <w:left w:val="single" w:color="auto" w:sz="4" w:space="0"/>
              <w:bottom w:val="single" w:color="auto" w:sz="4" w:space="0"/>
              <w:right w:val="single" w:color="000000" w:sz="4" w:space="0"/>
            </w:tcBorders>
            <w:noWrap/>
            <w:vAlign w:val="center"/>
          </w:tcPr>
          <w:p>
            <w:pPr>
              <w:widowControl/>
              <w:rPr>
                <w:rFonts w:ascii="宋体" w:hAnsi="宋体" w:cs="宋体"/>
                <w:kern w:val="0"/>
                <w:sz w:val="24"/>
              </w:rPr>
            </w:pPr>
            <w:r>
              <w:rPr>
                <w:rFonts w:hint="eastAsia" w:ascii="宋体" w:hAnsi="宋体" w:cs="宋体"/>
                <w:kern w:val="0"/>
                <w:sz w:val="24"/>
              </w:rPr>
              <w:t>备案系统</w:t>
            </w:r>
          </w:p>
        </w:tc>
        <w:tc>
          <w:tcPr>
            <w:tcW w:w="768"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564" w:hRule="atLeast"/>
        </w:trPr>
        <w:tc>
          <w:tcPr>
            <w:tcW w:w="1095" w:type="dxa"/>
            <w:vMerge w:val="continue"/>
            <w:tcBorders>
              <w:left w:val="single" w:color="auto" w:sz="8" w:space="0"/>
              <w:right w:val="single" w:color="auto" w:sz="4" w:space="0"/>
            </w:tcBorders>
            <w:vAlign w:val="center"/>
          </w:tcPr>
          <w:p>
            <w:pPr>
              <w:widowControl/>
              <w:jc w:val="left"/>
              <w:rPr>
                <w:rFonts w:ascii="宋体" w:hAnsi="宋体" w:cs="宋体"/>
                <w:kern w:val="0"/>
                <w:sz w:val="24"/>
              </w:rPr>
            </w:pPr>
          </w:p>
        </w:tc>
        <w:tc>
          <w:tcPr>
            <w:tcW w:w="172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法人是</w:t>
            </w:r>
          </w:p>
          <w:p>
            <w:pPr>
              <w:widowControl/>
              <w:jc w:val="center"/>
              <w:rPr>
                <w:rFonts w:ascii="宋体" w:hAnsi="宋体" w:cs="宋体"/>
                <w:kern w:val="0"/>
                <w:sz w:val="24"/>
              </w:rPr>
            </w:pPr>
            <w:r>
              <w:rPr>
                <w:rFonts w:hint="eastAsia" w:ascii="宋体" w:hAnsi="宋体" w:cs="宋体"/>
                <w:kern w:val="0"/>
                <w:sz w:val="24"/>
              </w:rPr>
              <w:t>土地估价师</w:t>
            </w:r>
          </w:p>
        </w:tc>
        <w:tc>
          <w:tcPr>
            <w:tcW w:w="88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2</w:t>
            </w:r>
          </w:p>
        </w:tc>
        <w:tc>
          <w:tcPr>
            <w:tcW w:w="3523" w:type="dxa"/>
            <w:tcBorders>
              <w:top w:val="single" w:color="auto" w:sz="4" w:space="0"/>
              <w:left w:val="single" w:color="auto" w:sz="4" w:space="0"/>
              <w:bottom w:val="single" w:color="auto" w:sz="4" w:space="0"/>
              <w:right w:val="single" w:color="auto" w:sz="4" w:space="0"/>
            </w:tcBorders>
            <w:noWrap/>
            <w:vAlign w:val="center"/>
          </w:tcPr>
          <w:p>
            <w:pPr>
              <w:widowControl/>
              <w:rPr>
                <w:rFonts w:ascii="宋体" w:hAnsi="宋体" w:cs="宋体"/>
                <w:kern w:val="0"/>
                <w:sz w:val="24"/>
              </w:rPr>
            </w:pPr>
            <w:r>
              <w:rPr>
                <w:rFonts w:hint="eastAsia" w:ascii="宋体" w:hAnsi="宋体" w:cs="宋体"/>
                <w:kern w:val="0"/>
                <w:sz w:val="24"/>
              </w:rPr>
              <w:t>法人是土地估价师  2分</w:t>
            </w:r>
          </w:p>
        </w:tc>
        <w:tc>
          <w:tcPr>
            <w:tcW w:w="1313" w:type="dxa"/>
            <w:vMerge w:val="continue"/>
            <w:tcBorders>
              <w:top w:val="single" w:color="auto" w:sz="4" w:space="0"/>
              <w:left w:val="single" w:color="auto" w:sz="4" w:space="0"/>
              <w:bottom w:val="single" w:color="auto" w:sz="4" w:space="0"/>
              <w:right w:val="single" w:color="000000" w:sz="4" w:space="0"/>
            </w:tcBorders>
            <w:vAlign w:val="center"/>
          </w:tcPr>
          <w:p>
            <w:pPr>
              <w:widowControl/>
              <w:rPr>
                <w:rFonts w:ascii="宋体" w:hAnsi="宋体" w:cs="宋体"/>
                <w:kern w:val="0"/>
                <w:sz w:val="24"/>
              </w:rPr>
            </w:pPr>
          </w:p>
        </w:tc>
        <w:tc>
          <w:tcPr>
            <w:tcW w:w="76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kern w:val="0"/>
                <w:sz w:val="24"/>
              </w:rPr>
            </w:pPr>
          </w:p>
        </w:tc>
      </w:tr>
      <w:tr>
        <w:tblPrEx>
          <w:tblCellMar>
            <w:top w:w="0" w:type="dxa"/>
            <w:left w:w="108" w:type="dxa"/>
            <w:bottom w:w="0" w:type="dxa"/>
            <w:right w:w="108" w:type="dxa"/>
          </w:tblCellMar>
        </w:tblPrEx>
        <w:trPr>
          <w:trHeight w:val="564" w:hRule="atLeast"/>
        </w:trPr>
        <w:tc>
          <w:tcPr>
            <w:tcW w:w="1095" w:type="dxa"/>
            <w:vMerge w:val="continue"/>
            <w:tcBorders>
              <w:left w:val="single" w:color="auto" w:sz="8" w:space="0"/>
              <w:right w:val="single" w:color="auto" w:sz="4" w:space="0"/>
            </w:tcBorders>
            <w:vAlign w:val="center"/>
          </w:tcPr>
          <w:p>
            <w:pPr>
              <w:widowControl/>
              <w:jc w:val="left"/>
              <w:rPr>
                <w:rFonts w:ascii="宋体" w:hAnsi="宋体" w:cs="宋体"/>
                <w:kern w:val="0"/>
                <w:sz w:val="24"/>
              </w:rPr>
            </w:pPr>
          </w:p>
        </w:tc>
        <w:tc>
          <w:tcPr>
            <w:tcW w:w="172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上年度</w:t>
            </w:r>
          </w:p>
          <w:p>
            <w:pPr>
              <w:widowControl/>
              <w:jc w:val="center"/>
              <w:rPr>
                <w:rFonts w:ascii="宋体" w:hAnsi="宋体" w:cs="宋体"/>
                <w:kern w:val="0"/>
                <w:sz w:val="24"/>
              </w:rPr>
            </w:pPr>
            <w:r>
              <w:rPr>
                <w:rFonts w:hint="eastAsia" w:ascii="宋体" w:hAnsi="宋体" w:cs="宋体"/>
                <w:kern w:val="0"/>
                <w:sz w:val="24"/>
              </w:rPr>
              <w:t>资信评定</w:t>
            </w:r>
          </w:p>
        </w:tc>
        <w:tc>
          <w:tcPr>
            <w:tcW w:w="88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3</w:t>
            </w:r>
          </w:p>
        </w:tc>
        <w:tc>
          <w:tcPr>
            <w:tcW w:w="3523" w:type="dxa"/>
            <w:tcBorders>
              <w:top w:val="single" w:color="auto" w:sz="4" w:space="0"/>
              <w:left w:val="single" w:color="auto" w:sz="4" w:space="0"/>
              <w:bottom w:val="single" w:color="auto" w:sz="4" w:space="0"/>
              <w:right w:val="single" w:color="auto" w:sz="4" w:space="0"/>
            </w:tcBorders>
            <w:noWrap/>
            <w:vAlign w:val="center"/>
          </w:tcPr>
          <w:p>
            <w:pPr>
              <w:widowControl/>
              <w:rPr>
                <w:rFonts w:ascii="宋体" w:hAnsi="宋体" w:cs="宋体"/>
                <w:kern w:val="0"/>
                <w:sz w:val="24"/>
              </w:rPr>
            </w:pPr>
            <w:r>
              <w:rPr>
                <w:rFonts w:hint="eastAsia" w:ascii="宋体" w:hAnsi="宋体" w:cs="宋体"/>
                <w:kern w:val="0"/>
                <w:sz w:val="24"/>
              </w:rPr>
              <w:t>上年度资信评定等级为AAA的，3分；等级为AA的，2分；等级为A的，1分。</w:t>
            </w:r>
          </w:p>
        </w:tc>
        <w:tc>
          <w:tcPr>
            <w:tcW w:w="1313"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kern w:val="0"/>
                <w:sz w:val="24"/>
              </w:rPr>
            </w:pPr>
            <w:r>
              <w:rPr>
                <w:rFonts w:hint="eastAsia" w:ascii="宋体" w:hAnsi="宋体" w:cs="宋体"/>
                <w:kern w:val="0"/>
                <w:sz w:val="24"/>
              </w:rPr>
              <w:t>协会记录</w:t>
            </w:r>
          </w:p>
        </w:tc>
        <w:tc>
          <w:tcPr>
            <w:tcW w:w="768" w:type="dxa"/>
            <w:tcBorders>
              <w:top w:val="single" w:color="000000" w:sz="4" w:space="0"/>
              <w:left w:val="single" w:color="auto" w:sz="4" w:space="0"/>
              <w:bottom w:val="single" w:color="000000" w:sz="4" w:space="0"/>
              <w:right w:val="single" w:color="auto" w:sz="8" w:space="0"/>
            </w:tcBorders>
            <w:vAlign w:val="center"/>
          </w:tcPr>
          <w:p>
            <w:pPr>
              <w:widowControl/>
              <w:jc w:val="left"/>
              <w:rPr>
                <w:rFonts w:ascii="宋体" w:hAnsi="宋体" w:cs="宋体"/>
                <w:kern w:val="0"/>
                <w:sz w:val="24"/>
              </w:rPr>
            </w:pPr>
          </w:p>
        </w:tc>
      </w:tr>
      <w:tr>
        <w:tblPrEx>
          <w:tblCellMar>
            <w:top w:w="0" w:type="dxa"/>
            <w:left w:w="108" w:type="dxa"/>
            <w:bottom w:w="0" w:type="dxa"/>
            <w:right w:w="108" w:type="dxa"/>
          </w:tblCellMar>
        </w:tblPrEx>
        <w:trPr>
          <w:trHeight w:val="409" w:hRule="atLeast"/>
        </w:trPr>
        <w:tc>
          <w:tcPr>
            <w:tcW w:w="1095" w:type="dxa"/>
            <w:vMerge w:val="continue"/>
            <w:tcBorders>
              <w:left w:val="single" w:color="auto" w:sz="8" w:space="0"/>
              <w:right w:val="single" w:color="auto" w:sz="4" w:space="0"/>
            </w:tcBorders>
            <w:vAlign w:val="center"/>
          </w:tcPr>
          <w:p>
            <w:pPr>
              <w:widowControl/>
              <w:jc w:val="left"/>
              <w:rPr>
                <w:rFonts w:ascii="宋体" w:hAnsi="宋体" w:cs="宋体"/>
                <w:kern w:val="0"/>
                <w:sz w:val="24"/>
              </w:rPr>
            </w:pPr>
          </w:p>
        </w:tc>
        <w:tc>
          <w:tcPr>
            <w:tcW w:w="1724"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p>
          <w:p>
            <w:pPr>
              <w:widowControl/>
              <w:jc w:val="center"/>
              <w:rPr>
                <w:rFonts w:ascii="宋体" w:hAnsi="宋体" w:cs="宋体"/>
                <w:kern w:val="0"/>
                <w:sz w:val="24"/>
              </w:rPr>
            </w:pPr>
            <w:r>
              <w:rPr>
                <w:rFonts w:hint="eastAsia" w:ascii="宋体" w:hAnsi="宋体" w:cs="宋体"/>
                <w:kern w:val="0"/>
                <w:sz w:val="24"/>
              </w:rPr>
              <w:t>注册资金</w:t>
            </w:r>
          </w:p>
          <w:p>
            <w:pPr>
              <w:widowControl/>
              <w:jc w:val="center"/>
              <w:rPr>
                <w:rFonts w:ascii="宋体" w:hAnsi="宋体" w:cs="宋体"/>
                <w:kern w:val="0"/>
                <w:sz w:val="24"/>
              </w:rPr>
            </w:pPr>
            <w:r>
              <w:rPr>
                <w:rFonts w:hint="eastAsia" w:ascii="宋体" w:hAnsi="宋体" w:cs="宋体"/>
                <w:kern w:val="0"/>
                <w:sz w:val="24"/>
              </w:rPr>
              <w:t>（万元）</w:t>
            </w:r>
          </w:p>
        </w:tc>
        <w:tc>
          <w:tcPr>
            <w:tcW w:w="881"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2</w:t>
            </w:r>
          </w:p>
        </w:tc>
        <w:tc>
          <w:tcPr>
            <w:tcW w:w="3523" w:type="dxa"/>
            <w:tcBorders>
              <w:top w:val="single" w:color="auto" w:sz="4" w:space="0"/>
              <w:left w:val="single" w:color="auto" w:sz="4" w:space="0"/>
              <w:bottom w:val="single" w:color="auto" w:sz="4" w:space="0"/>
              <w:right w:val="single" w:color="auto" w:sz="4" w:space="0"/>
            </w:tcBorders>
            <w:noWrap/>
            <w:vAlign w:val="center"/>
          </w:tcPr>
          <w:p>
            <w:pPr>
              <w:widowControl/>
              <w:rPr>
                <w:rFonts w:ascii="宋体" w:hAnsi="宋体" w:cs="宋体"/>
                <w:kern w:val="0"/>
                <w:sz w:val="24"/>
              </w:rPr>
            </w:pPr>
            <w:r>
              <w:rPr>
                <w:rFonts w:hint="eastAsia" w:ascii="宋体" w:hAnsi="宋体" w:cs="宋体"/>
                <w:kern w:val="0"/>
                <w:sz w:val="24"/>
              </w:rPr>
              <w:t>有限责任公司≥100 2分</w:t>
            </w:r>
          </w:p>
        </w:tc>
        <w:tc>
          <w:tcPr>
            <w:tcW w:w="1313" w:type="dxa"/>
            <w:vMerge w:val="restart"/>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kern w:val="0"/>
                <w:sz w:val="24"/>
              </w:rPr>
            </w:pPr>
            <w:r>
              <w:rPr>
                <w:rFonts w:hint="eastAsia" w:ascii="宋体" w:hAnsi="宋体" w:cs="宋体"/>
                <w:kern w:val="0"/>
                <w:sz w:val="24"/>
              </w:rPr>
              <w:t xml:space="preserve">营业执照 </w:t>
            </w:r>
          </w:p>
        </w:tc>
        <w:tc>
          <w:tcPr>
            <w:tcW w:w="768" w:type="dxa"/>
            <w:vMerge w:val="restart"/>
            <w:tcBorders>
              <w:top w:val="nil"/>
              <w:left w:val="single" w:color="auto" w:sz="4" w:space="0"/>
              <w:right w:val="single" w:color="auto" w:sz="8" w:space="0"/>
            </w:tcBorders>
            <w:noWrap/>
            <w:vAlign w:val="center"/>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429" w:hRule="atLeast"/>
        </w:trPr>
        <w:tc>
          <w:tcPr>
            <w:tcW w:w="1095" w:type="dxa"/>
            <w:vMerge w:val="continue"/>
            <w:tcBorders>
              <w:left w:val="single" w:color="auto" w:sz="8" w:space="0"/>
              <w:right w:val="single" w:color="auto" w:sz="4" w:space="0"/>
            </w:tcBorders>
            <w:vAlign w:val="center"/>
          </w:tcPr>
          <w:p>
            <w:pPr>
              <w:widowControl/>
              <w:jc w:val="left"/>
              <w:rPr>
                <w:rFonts w:ascii="宋体" w:hAnsi="宋体" w:cs="宋体"/>
                <w:kern w:val="0"/>
                <w:sz w:val="24"/>
              </w:rPr>
            </w:pPr>
          </w:p>
        </w:tc>
        <w:tc>
          <w:tcPr>
            <w:tcW w:w="1724"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24"/>
              </w:rPr>
            </w:pPr>
          </w:p>
        </w:tc>
        <w:tc>
          <w:tcPr>
            <w:tcW w:w="881"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p>
        </w:tc>
        <w:tc>
          <w:tcPr>
            <w:tcW w:w="3523" w:type="dxa"/>
            <w:tcBorders>
              <w:top w:val="single" w:color="auto" w:sz="4" w:space="0"/>
              <w:left w:val="single" w:color="auto" w:sz="4" w:space="0"/>
              <w:bottom w:val="single" w:color="auto" w:sz="4" w:space="0"/>
              <w:right w:val="single" w:color="auto" w:sz="4" w:space="0"/>
            </w:tcBorders>
            <w:noWrap/>
            <w:vAlign w:val="center"/>
          </w:tcPr>
          <w:p>
            <w:pPr>
              <w:widowControl/>
              <w:rPr>
                <w:rFonts w:ascii="宋体" w:hAnsi="宋体" w:cs="宋体"/>
                <w:kern w:val="0"/>
                <w:sz w:val="24"/>
              </w:rPr>
            </w:pPr>
            <w:r>
              <w:rPr>
                <w:rFonts w:hint="eastAsia" w:ascii="宋体" w:hAnsi="宋体" w:cs="宋体"/>
                <w:kern w:val="0"/>
                <w:sz w:val="24"/>
              </w:rPr>
              <w:t>有限责任公司100以内 1分</w:t>
            </w:r>
          </w:p>
        </w:tc>
        <w:tc>
          <w:tcPr>
            <w:tcW w:w="1313"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kern w:val="0"/>
                <w:sz w:val="24"/>
              </w:rPr>
            </w:pPr>
          </w:p>
        </w:tc>
        <w:tc>
          <w:tcPr>
            <w:tcW w:w="768" w:type="dxa"/>
            <w:vMerge w:val="continue"/>
            <w:tcBorders>
              <w:top w:val="nil"/>
              <w:left w:val="single" w:color="auto" w:sz="4" w:space="0"/>
              <w:bottom w:val="single" w:color="auto" w:sz="4" w:space="0"/>
              <w:right w:val="single" w:color="auto" w:sz="8" w:space="0"/>
            </w:tcBorders>
            <w:vAlign w:val="center"/>
          </w:tcPr>
          <w:p>
            <w:pPr>
              <w:widowControl/>
              <w:jc w:val="left"/>
              <w:rPr>
                <w:rFonts w:ascii="宋体" w:hAnsi="宋体" w:cs="宋体"/>
                <w:kern w:val="0"/>
                <w:sz w:val="24"/>
              </w:rPr>
            </w:pPr>
          </w:p>
        </w:tc>
      </w:tr>
      <w:tr>
        <w:tblPrEx>
          <w:tblCellMar>
            <w:top w:w="0" w:type="dxa"/>
            <w:left w:w="108" w:type="dxa"/>
            <w:bottom w:w="0" w:type="dxa"/>
            <w:right w:w="108" w:type="dxa"/>
          </w:tblCellMar>
        </w:tblPrEx>
        <w:trPr>
          <w:trHeight w:val="430" w:hRule="atLeast"/>
        </w:trPr>
        <w:tc>
          <w:tcPr>
            <w:tcW w:w="1095" w:type="dxa"/>
            <w:vMerge w:val="continue"/>
            <w:tcBorders>
              <w:left w:val="single" w:color="auto" w:sz="8" w:space="0"/>
              <w:right w:val="single" w:color="auto" w:sz="4" w:space="0"/>
            </w:tcBorders>
            <w:vAlign w:val="center"/>
          </w:tcPr>
          <w:p>
            <w:pPr>
              <w:widowControl/>
              <w:jc w:val="left"/>
              <w:rPr>
                <w:rFonts w:ascii="宋体" w:hAnsi="宋体" w:cs="宋体"/>
                <w:kern w:val="0"/>
                <w:sz w:val="24"/>
              </w:rPr>
            </w:pPr>
          </w:p>
        </w:tc>
        <w:tc>
          <w:tcPr>
            <w:tcW w:w="1724"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24"/>
              </w:rPr>
            </w:pPr>
          </w:p>
        </w:tc>
        <w:tc>
          <w:tcPr>
            <w:tcW w:w="881"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kern w:val="0"/>
                <w:sz w:val="24"/>
              </w:rPr>
            </w:pPr>
          </w:p>
        </w:tc>
        <w:tc>
          <w:tcPr>
            <w:tcW w:w="3523" w:type="dxa"/>
            <w:tcBorders>
              <w:top w:val="single" w:color="auto" w:sz="4" w:space="0"/>
              <w:left w:val="single" w:color="auto" w:sz="4" w:space="0"/>
              <w:bottom w:val="single" w:color="auto" w:sz="4" w:space="0"/>
              <w:right w:val="single" w:color="auto" w:sz="4" w:space="0"/>
            </w:tcBorders>
            <w:noWrap/>
            <w:vAlign w:val="center"/>
          </w:tcPr>
          <w:p>
            <w:pPr>
              <w:widowControl/>
              <w:rPr>
                <w:rFonts w:ascii="宋体" w:hAnsi="宋体" w:cs="宋体"/>
                <w:kern w:val="0"/>
                <w:sz w:val="24"/>
              </w:rPr>
            </w:pPr>
            <w:r>
              <w:rPr>
                <w:rFonts w:hint="eastAsia" w:ascii="宋体" w:hAnsi="宋体" w:cs="宋体"/>
                <w:kern w:val="0"/>
                <w:sz w:val="24"/>
              </w:rPr>
              <w:t>合伙制  2分</w:t>
            </w:r>
          </w:p>
        </w:tc>
        <w:tc>
          <w:tcPr>
            <w:tcW w:w="1313"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kern w:val="0"/>
                <w:sz w:val="24"/>
              </w:rPr>
            </w:pPr>
          </w:p>
        </w:tc>
        <w:tc>
          <w:tcPr>
            <w:tcW w:w="768" w:type="dxa"/>
            <w:vMerge w:val="continue"/>
            <w:tcBorders>
              <w:left w:val="single" w:color="auto" w:sz="4" w:space="0"/>
              <w:bottom w:val="single" w:color="auto" w:sz="4" w:space="0"/>
              <w:right w:val="single" w:color="auto" w:sz="8" w:space="0"/>
            </w:tcBorders>
            <w:vAlign w:val="center"/>
          </w:tcPr>
          <w:p>
            <w:pPr>
              <w:widowControl/>
              <w:jc w:val="left"/>
              <w:rPr>
                <w:rFonts w:ascii="宋体" w:hAnsi="宋体" w:cs="宋体"/>
                <w:kern w:val="0"/>
                <w:sz w:val="24"/>
              </w:rPr>
            </w:pPr>
          </w:p>
        </w:tc>
      </w:tr>
      <w:tr>
        <w:tblPrEx>
          <w:tblCellMar>
            <w:top w:w="0" w:type="dxa"/>
            <w:left w:w="108" w:type="dxa"/>
            <w:bottom w:w="0" w:type="dxa"/>
            <w:right w:w="108" w:type="dxa"/>
          </w:tblCellMar>
        </w:tblPrEx>
        <w:trPr>
          <w:trHeight w:val="417" w:hRule="atLeast"/>
        </w:trPr>
        <w:tc>
          <w:tcPr>
            <w:tcW w:w="1095" w:type="dxa"/>
            <w:vMerge w:val="continue"/>
            <w:tcBorders>
              <w:left w:val="single" w:color="auto" w:sz="8" w:space="0"/>
              <w:right w:val="single" w:color="auto" w:sz="4" w:space="0"/>
            </w:tcBorders>
            <w:vAlign w:val="center"/>
          </w:tcPr>
          <w:p>
            <w:pPr>
              <w:widowControl/>
              <w:jc w:val="left"/>
              <w:rPr>
                <w:rFonts w:ascii="宋体" w:hAnsi="宋体" w:cs="宋体"/>
                <w:kern w:val="0"/>
                <w:sz w:val="24"/>
              </w:rPr>
            </w:pPr>
          </w:p>
        </w:tc>
        <w:tc>
          <w:tcPr>
            <w:tcW w:w="1724"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24"/>
              </w:rPr>
            </w:pPr>
            <w:r>
              <w:rPr>
                <w:rFonts w:hint="eastAsia" w:ascii="宋体" w:hAnsi="宋体" w:cs="宋体"/>
                <w:kern w:val="0"/>
                <w:sz w:val="24"/>
              </w:rPr>
              <w:t>经营场地</w:t>
            </w:r>
          </w:p>
          <w:p>
            <w:pPr>
              <w:jc w:val="center"/>
              <w:rPr>
                <w:rFonts w:ascii="宋体" w:hAnsi="宋体" w:cs="宋体"/>
                <w:kern w:val="0"/>
                <w:sz w:val="24"/>
              </w:rPr>
            </w:pPr>
            <w:r>
              <w:rPr>
                <w:rFonts w:hint="eastAsia" w:ascii="宋体" w:hAnsi="宋体" w:cs="宋体"/>
                <w:kern w:val="0"/>
                <w:sz w:val="24"/>
              </w:rPr>
              <w:t>（平方米）</w:t>
            </w:r>
          </w:p>
        </w:tc>
        <w:tc>
          <w:tcPr>
            <w:tcW w:w="881" w:type="dxa"/>
            <w:vMerge w:val="restart"/>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kern w:val="0"/>
                <w:sz w:val="24"/>
              </w:rPr>
            </w:pPr>
            <w:r>
              <w:rPr>
                <w:rFonts w:hint="eastAsia" w:ascii="宋体" w:hAnsi="宋体" w:cs="宋体"/>
                <w:kern w:val="0"/>
                <w:sz w:val="24"/>
              </w:rPr>
              <w:t>2</w:t>
            </w:r>
          </w:p>
        </w:tc>
        <w:tc>
          <w:tcPr>
            <w:tcW w:w="3523"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kern w:val="0"/>
                <w:sz w:val="24"/>
              </w:rPr>
            </w:pPr>
            <w:r>
              <w:rPr>
                <w:rFonts w:hint="eastAsia" w:ascii="宋体" w:hAnsi="宋体" w:cs="宋体"/>
                <w:kern w:val="0"/>
                <w:sz w:val="24"/>
              </w:rPr>
              <w:t>≥200㎡  2分</w:t>
            </w:r>
          </w:p>
        </w:tc>
        <w:tc>
          <w:tcPr>
            <w:tcW w:w="1313" w:type="dxa"/>
            <w:vMerge w:val="restart"/>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sz w:val="24"/>
              </w:rPr>
            </w:pPr>
            <w:r>
              <w:rPr>
                <w:rFonts w:hint="eastAsia" w:ascii="宋体" w:hAnsi="宋体" w:cs="宋体"/>
                <w:kern w:val="0"/>
                <w:sz w:val="24"/>
              </w:rPr>
              <w:t>房产证或租赁合同</w:t>
            </w:r>
          </w:p>
        </w:tc>
        <w:tc>
          <w:tcPr>
            <w:tcW w:w="768" w:type="dxa"/>
            <w:vMerge w:val="restart"/>
            <w:tcBorders>
              <w:top w:val="nil"/>
              <w:left w:val="single" w:color="auto" w:sz="4" w:space="0"/>
              <w:right w:val="single" w:color="auto" w:sz="8" w:space="0"/>
            </w:tcBorders>
            <w:vAlign w:val="center"/>
          </w:tcPr>
          <w:p>
            <w:pPr>
              <w:widowControl/>
              <w:jc w:val="left"/>
              <w:rPr>
                <w:rFonts w:ascii="宋体" w:hAnsi="宋体" w:cs="宋体"/>
                <w:kern w:val="0"/>
                <w:sz w:val="24"/>
              </w:rPr>
            </w:pPr>
          </w:p>
        </w:tc>
      </w:tr>
      <w:tr>
        <w:tblPrEx>
          <w:tblCellMar>
            <w:top w:w="0" w:type="dxa"/>
            <w:left w:w="108" w:type="dxa"/>
            <w:bottom w:w="0" w:type="dxa"/>
            <w:right w:w="108" w:type="dxa"/>
          </w:tblCellMar>
        </w:tblPrEx>
        <w:trPr>
          <w:trHeight w:val="444" w:hRule="atLeast"/>
        </w:trPr>
        <w:tc>
          <w:tcPr>
            <w:tcW w:w="1095" w:type="dxa"/>
            <w:vMerge w:val="continue"/>
            <w:tcBorders>
              <w:left w:val="single" w:color="auto" w:sz="8" w:space="0"/>
              <w:right w:val="single" w:color="auto" w:sz="4" w:space="0"/>
            </w:tcBorders>
            <w:vAlign w:val="center"/>
          </w:tcPr>
          <w:p>
            <w:pPr>
              <w:widowControl/>
              <w:jc w:val="left"/>
              <w:rPr>
                <w:rFonts w:ascii="宋体" w:hAnsi="宋体" w:cs="宋体"/>
                <w:kern w:val="0"/>
                <w:sz w:val="24"/>
              </w:rPr>
            </w:pPr>
          </w:p>
        </w:tc>
        <w:tc>
          <w:tcPr>
            <w:tcW w:w="172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881"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p>
        </w:tc>
        <w:tc>
          <w:tcPr>
            <w:tcW w:w="3523" w:type="dxa"/>
            <w:tcBorders>
              <w:top w:val="single" w:color="auto" w:sz="4" w:space="0"/>
              <w:left w:val="single" w:color="auto" w:sz="4" w:space="0"/>
              <w:bottom w:val="single" w:color="auto" w:sz="4" w:space="0"/>
              <w:right w:val="single" w:color="auto" w:sz="4" w:space="0"/>
            </w:tcBorders>
            <w:noWrap/>
            <w:vAlign w:val="center"/>
          </w:tcPr>
          <w:p>
            <w:pPr>
              <w:widowControl/>
              <w:rPr>
                <w:rFonts w:ascii="宋体" w:hAnsi="宋体" w:cs="宋体"/>
                <w:kern w:val="0"/>
                <w:sz w:val="24"/>
              </w:rPr>
            </w:pPr>
            <w:r>
              <w:rPr>
                <w:rFonts w:hint="eastAsia" w:ascii="宋体" w:hAnsi="宋体" w:cs="宋体"/>
                <w:kern w:val="0"/>
                <w:sz w:val="24"/>
              </w:rPr>
              <w:t>200㎡ 以内 1分</w:t>
            </w:r>
          </w:p>
        </w:tc>
        <w:tc>
          <w:tcPr>
            <w:tcW w:w="1313"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kern w:val="0"/>
                <w:sz w:val="24"/>
              </w:rPr>
            </w:pPr>
          </w:p>
        </w:tc>
        <w:tc>
          <w:tcPr>
            <w:tcW w:w="768" w:type="dxa"/>
            <w:vMerge w:val="continue"/>
            <w:tcBorders>
              <w:top w:val="nil"/>
              <w:left w:val="single" w:color="auto" w:sz="4" w:space="0"/>
              <w:bottom w:val="single" w:color="auto" w:sz="4" w:space="0"/>
              <w:right w:val="single" w:color="auto" w:sz="8" w:space="0"/>
            </w:tcBorders>
            <w:vAlign w:val="center"/>
          </w:tcPr>
          <w:p>
            <w:pPr>
              <w:widowControl/>
              <w:jc w:val="left"/>
              <w:rPr>
                <w:rFonts w:ascii="宋体" w:hAnsi="宋体" w:cs="宋体"/>
                <w:kern w:val="0"/>
                <w:sz w:val="24"/>
              </w:rPr>
            </w:pPr>
          </w:p>
        </w:tc>
      </w:tr>
      <w:tr>
        <w:tblPrEx>
          <w:tblCellMar>
            <w:top w:w="0" w:type="dxa"/>
            <w:left w:w="108" w:type="dxa"/>
            <w:bottom w:w="0" w:type="dxa"/>
            <w:right w:w="108" w:type="dxa"/>
          </w:tblCellMar>
        </w:tblPrEx>
        <w:trPr>
          <w:trHeight w:val="480" w:hRule="atLeast"/>
        </w:trPr>
        <w:tc>
          <w:tcPr>
            <w:tcW w:w="1095" w:type="dxa"/>
            <w:vMerge w:val="continue"/>
            <w:tcBorders>
              <w:left w:val="single" w:color="auto" w:sz="8" w:space="0"/>
              <w:right w:val="single" w:color="auto" w:sz="4" w:space="0"/>
            </w:tcBorders>
            <w:vAlign w:val="center"/>
          </w:tcPr>
          <w:p>
            <w:pPr>
              <w:widowControl/>
              <w:jc w:val="left"/>
              <w:rPr>
                <w:rFonts w:ascii="宋体" w:hAnsi="宋体" w:cs="宋体"/>
                <w:kern w:val="0"/>
                <w:sz w:val="24"/>
              </w:rPr>
            </w:pPr>
          </w:p>
        </w:tc>
        <w:tc>
          <w:tcPr>
            <w:tcW w:w="172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技术负责人</w:t>
            </w:r>
          </w:p>
        </w:tc>
        <w:tc>
          <w:tcPr>
            <w:tcW w:w="88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2</w:t>
            </w:r>
          </w:p>
        </w:tc>
        <w:tc>
          <w:tcPr>
            <w:tcW w:w="3523" w:type="dxa"/>
            <w:tcBorders>
              <w:top w:val="single" w:color="auto" w:sz="4" w:space="0"/>
              <w:left w:val="single" w:color="auto" w:sz="4" w:space="0"/>
              <w:bottom w:val="single" w:color="auto" w:sz="4" w:space="0"/>
              <w:right w:val="single" w:color="auto" w:sz="4" w:space="0"/>
            </w:tcBorders>
            <w:noWrap/>
            <w:vAlign w:val="center"/>
          </w:tcPr>
          <w:p>
            <w:pPr>
              <w:widowControl/>
              <w:rPr>
                <w:rFonts w:ascii="宋体" w:hAnsi="宋体" w:cs="宋体"/>
                <w:kern w:val="0"/>
                <w:sz w:val="24"/>
              </w:rPr>
            </w:pPr>
            <w:r>
              <w:rPr>
                <w:rFonts w:hint="eastAsia" w:ascii="宋体" w:hAnsi="宋体" w:cs="宋体"/>
                <w:kern w:val="0"/>
                <w:sz w:val="24"/>
              </w:rPr>
              <w:t>设技术负责人 2分</w:t>
            </w:r>
          </w:p>
        </w:tc>
        <w:tc>
          <w:tcPr>
            <w:tcW w:w="1313"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kern w:val="0"/>
                <w:sz w:val="24"/>
              </w:rPr>
            </w:pPr>
            <w:r>
              <w:rPr>
                <w:rFonts w:hint="eastAsia" w:ascii="宋体" w:hAnsi="宋体" w:cs="宋体"/>
                <w:kern w:val="0"/>
                <w:sz w:val="24"/>
              </w:rPr>
              <w:t>单位任命文件</w:t>
            </w:r>
          </w:p>
        </w:tc>
        <w:tc>
          <w:tcPr>
            <w:tcW w:w="768" w:type="dxa"/>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r>
      <w:tr>
        <w:tblPrEx>
          <w:tblCellMar>
            <w:top w:w="0" w:type="dxa"/>
            <w:left w:w="108" w:type="dxa"/>
            <w:bottom w:w="0" w:type="dxa"/>
            <w:right w:w="108" w:type="dxa"/>
          </w:tblCellMar>
        </w:tblPrEx>
        <w:trPr>
          <w:trHeight w:val="414" w:hRule="atLeast"/>
        </w:trPr>
        <w:tc>
          <w:tcPr>
            <w:tcW w:w="1095" w:type="dxa"/>
            <w:vMerge w:val="continue"/>
            <w:tcBorders>
              <w:left w:val="single" w:color="auto" w:sz="8" w:space="0"/>
              <w:right w:val="single" w:color="auto" w:sz="4" w:space="0"/>
            </w:tcBorders>
            <w:vAlign w:val="center"/>
          </w:tcPr>
          <w:p>
            <w:pPr>
              <w:widowControl/>
              <w:jc w:val="left"/>
              <w:rPr>
                <w:rFonts w:ascii="宋体" w:hAnsi="宋体" w:cs="宋体"/>
                <w:kern w:val="0"/>
                <w:sz w:val="24"/>
              </w:rPr>
            </w:pPr>
          </w:p>
        </w:tc>
        <w:tc>
          <w:tcPr>
            <w:tcW w:w="1724"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报告三级</w:t>
            </w:r>
          </w:p>
          <w:p>
            <w:pPr>
              <w:widowControl/>
              <w:jc w:val="center"/>
              <w:rPr>
                <w:rFonts w:ascii="宋体" w:hAnsi="宋体" w:cs="宋体"/>
                <w:kern w:val="0"/>
                <w:sz w:val="24"/>
              </w:rPr>
            </w:pPr>
            <w:r>
              <w:rPr>
                <w:rFonts w:hint="eastAsia" w:ascii="宋体" w:hAnsi="宋体" w:cs="宋体"/>
                <w:kern w:val="0"/>
                <w:sz w:val="24"/>
              </w:rPr>
              <w:t>审核制度</w:t>
            </w:r>
          </w:p>
        </w:tc>
        <w:tc>
          <w:tcPr>
            <w:tcW w:w="881"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2</w:t>
            </w:r>
          </w:p>
        </w:tc>
        <w:tc>
          <w:tcPr>
            <w:tcW w:w="3523" w:type="dxa"/>
            <w:tcBorders>
              <w:top w:val="single" w:color="auto" w:sz="4" w:space="0"/>
              <w:left w:val="single" w:color="auto" w:sz="4" w:space="0"/>
              <w:bottom w:val="single" w:color="auto" w:sz="4" w:space="0"/>
              <w:right w:val="single" w:color="auto" w:sz="4" w:space="0"/>
            </w:tcBorders>
            <w:noWrap/>
            <w:vAlign w:val="center"/>
          </w:tcPr>
          <w:p>
            <w:pPr>
              <w:widowControl/>
              <w:rPr>
                <w:rFonts w:ascii="宋体" w:hAnsi="宋体" w:cs="宋体"/>
                <w:kern w:val="0"/>
                <w:sz w:val="24"/>
              </w:rPr>
            </w:pPr>
            <w:r>
              <w:rPr>
                <w:rFonts w:hint="eastAsia" w:ascii="宋体" w:hAnsi="宋体" w:cs="宋体"/>
                <w:kern w:val="0"/>
                <w:sz w:val="24"/>
              </w:rPr>
              <w:t>报告三级审核制度完善 2分</w:t>
            </w:r>
          </w:p>
        </w:tc>
        <w:tc>
          <w:tcPr>
            <w:tcW w:w="1313" w:type="dxa"/>
            <w:vMerge w:val="restart"/>
            <w:tcBorders>
              <w:top w:val="single" w:color="auto" w:sz="4" w:space="0"/>
              <w:left w:val="single" w:color="auto" w:sz="4" w:space="0"/>
              <w:right w:val="single" w:color="auto" w:sz="4" w:space="0"/>
            </w:tcBorders>
            <w:vAlign w:val="center"/>
          </w:tcPr>
          <w:p>
            <w:pPr>
              <w:rPr>
                <w:rFonts w:ascii="宋体" w:hAnsi="宋体" w:cs="宋体"/>
                <w:kern w:val="0"/>
                <w:sz w:val="24"/>
              </w:rPr>
            </w:pPr>
            <w:r>
              <w:rPr>
                <w:rFonts w:hint="eastAsia" w:ascii="宋体" w:hAnsi="宋体" w:cs="宋体"/>
                <w:kern w:val="0"/>
                <w:sz w:val="24"/>
              </w:rPr>
              <w:t>单位制度</w:t>
            </w:r>
          </w:p>
        </w:tc>
        <w:tc>
          <w:tcPr>
            <w:tcW w:w="768" w:type="dxa"/>
            <w:vMerge w:val="restart"/>
            <w:tcBorders>
              <w:top w:val="single" w:color="auto" w:sz="4" w:space="0"/>
              <w:left w:val="single" w:color="auto" w:sz="4" w:space="0"/>
              <w:right w:val="single" w:color="auto" w:sz="4" w:space="0"/>
            </w:tcBorders>
            <w:vAlign w:val="center"/>
          </w:tcPr>
          <w:p>
            <w:pPr>
              <w:widowControl/>
              <w:jc w:val="left"/>
              <w:rPr>
                <w:rFonts w:ascii="宋体" w:hAnsi="宋体" w:cs="宋体"/>
                <w:kern w:val="0"/>
                <w:sz w:val="24"/>
              </w:rPr>
            </w:pPr>
          </w:p>
        </w:tc>
      </w:tr>
      <w:tr>
        <w:tblPrEx>
          <w:tblCellMar>
            <w:top w:w="0" w:type="dxa"/>
            <w:left w:w="108" w:type="dxa"/>
            <w:bottom w:w="0" w:type="dxa"/>
            <w:right w:w="108" w:type="dxa"/>
          </w:tblCellMar>
        </w:tblPrEx>
        <w:trPr>
          <w:trHeight w:val="425" w:hRule="atLeast"/>
        </w:trPr>
        <w:tc>
          <w:tcPr>
            <w:tcW w:w="1095" w:type="dxa"/>
            <w:vMerge w:val="continue"/>
            <w:tcBorders>
              <w:left w:val="single" w:color="auto" w:sz="8" w:space="0"/>
              <w:right w:val="single" w:color="auto" w:sz="4" w:space="0"/>
            </w:tcBorders>
            <w:vAlign w:val="center"/>
          </w:tcPr>
          <w:p>
            <w:pPr>
              <w:widowControl/>
              <w:jc w:val="center"/>
            </w:pPr>
          </w:p>
        </w:tc>
        <w:tc>
          <w:tcPr>
            <w:tcW w:w="1724"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pPr>
          </w:p>
        </w:tc>
        <w:tc>
          <w:tcPr>
            <w:tcW w:w="881"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pPr>
          </w:p>
        </w:tc>
        <w:tc>
          <w:tcPr>
            <w:tcW w:w="3523" w:type="dxa"/>
            <w:tcBorders>
              <w:top w:val="single" w:color="auto" w:sz="4" w:space="0"/>
              <w:left w:val="single" w:color="auto" w:sz="4" w:space="0"/>
              <w:bottom w:val="single" w:color="auto" w:sz="4" w:space="0"/>
              <w:right w:val="single" w:color="auto" w:sz="4" w:space="0"/>
            </w:tcBorders>
            <w:noWrap/>
            <w:vAlign w:val="center"/>
          </w:tcPr>
          <w:p>
            <w:pPr>
              <w:widowControl/>
              <w:rPr>
                <w:rFonts w:ascii="宋体" w:hAnsi="宋体" w:cs="宋体"/>
                <w:kern w:val="0"/>
                <w:sz w:val="24"/>
              </w:rPr>
            </w:pPr>
            <w:r>
              <w:rPr>
                <w:rFonts w:hint="eastAsia" w:ascii="宋体" w:hAnsi="宋体" w:cs="宋体"/>
                <w:kern w:val="0"/>
                <w:sz w:val="24"/>
              </w:rPr>
              <w:t>报告三级审核制度一般 1分</w:t>
            </w:r>
          </w:p>
        </w:tc>
        <w:tc>
          <w:tcPr>
            <w:tcW w:w="1313" w:type="dxa"/>
            <w:vMerge w:val="continue"/>
            <w:tcBorders>
              <w:left w:val="single" w:color="auto" w:sz="4" w:space="0"/>
              <w:right w:val="single" w:color="auto" w:sz="4" w:space="0"/>
            </w:tcBorders>
            <w:vAlign w:val="center"/>
          </w:tcPr>
          <w:p>
            <w:pPr>
              <w:rPr>
                <w:rFonts w:ascii="宋体" w:hAnsi="宋体" w:cs="宋体"/>
                <w:kern w:val="0"/>
                <w:sz w:val="24"/>
              </w:rPr>
            </w:pPr>
          </w:p>
        </w:tc>
        <w:tc>
          <w:tcPr>
            <w:tcW w:w="768" w:type="dxa"/>
            <w:vMerge w:val="continue"/>
            <w:tcBorders>
              <w:left w:val="single" w:color="auto" w:sz="4" w:space="0"/>
              <w:right w:val="single" w:color="auto" w:sz="4" w:space="0"/>
            </w:tcBorders>
            <w:vAlign w:val="center"/>
          </w:tcPr>
          <w:p>
            <w:pPr>
              <w:widowControl/>
              <w:jc w:val="center"/>
              <w:rPr>
                <w:rFonts w:ascii="宋体" w:hAnsi="宋体" w:cs="宋体"/>
                <w:kern w:val="0"/>
                <w:sz w:val="24"/>
              </w:rPr>
            </w:pPr>
          </w:p>
        </w:tc>
      </w:tr>
      <w:tr>
        <w:tblPrEx>
          <w:tblCellMar>
            <w:top w:w="0" w:type="dxa"/>
            <w:left w:w="108" w:type="dxa"/>
            <w:bottom w:w="0" w:type="dxa"/>
            <w:right w:w="108" w:type="dxa"/>
          </w:tblCellMar>
        </w:tblPrEx>
        <w:trPr>
          <w:trHeight w:val="424" w:hRule="atLeast"/>
        </w:trPr>
        <w:tc>
          <w:tcPr>
            <w:tcW w:w="1095" w:type="dxa"/>
            <w:vMerge w:val="continue"/>
            <w:tcBorders>
              <w:left w:val="single" w:color="auto" w:sz="8" w:space="0"/>
              <w:bottom w:val="single" w:color="auto" w:sz="4" w:space="0"/>
              <w:right w:val="single" w:color="auto" w:sz="4" w:space="0"/>
            </w:tcBorders>
            <w:vAlign w:val="center"/>
          </w:tcPr>
          <w:p>
            <w:pPr>
              <w:widowControl/>
              <w:jc w:val="left"/>
              <w:rPr>
                <w:rFonts w:ascii="宋体" w:hAnsi="宋体" w:cs="宋体"/>
                <w:kern w:val="0"/>
                <w:sz w:val="24"/>
              </w:rPr>
            </w:pPr>
          </w:p>
        </w:tc>
        <w:tc>
          <w:tcPr>
            <w:tcW w:w="1724" w:type="dxa"/>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内部管理制度</w:t>
            </w:r>
          </w:p>
        </w:tc>
        <w:tc>
          <w:tcPr>
            <w:tcW w:w="881"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2</w:t>
            </w:r>
          </w:p>
        </w:tc>
        <w:tc>
          <w:tcPr>
            <w:tcW w:w="3523" w:type="dxa"/>
            <w:tcBorders>
              <w:top w:val="single" w:color="auto" w:sz="4" w:space="0"/>
              <w:left w:val="single" w:color="auto" w:sz="4" w:space="0"/>
              <w:bottom w:val="single" w:color="auto" w:sz="4" w:space="0"/>
              <w:right w:val="single" w:color="auto" w:sz="4" w:space="0"/>
            </w:tcBorders>
            <w:noWrap/>
            <w:vAlign w:val="center"/>
          </w:tcPr>
          <w:p>
            <w:pPr>
              <w:widowControl/>
              <w:rPr>
                <w:rFonts w:ascii="宋体" w:hAnsi="宋体" w:cs="宋体"/>
                <w:kern w:val="0"/>
                <w:sz w:val="24"/>
              </w:rPr>
            </w:pPr>
            <w:r>
              <w:rPr>
                <w:rFonts w:hint="eastAsia" w:ascii="宋体" w:hAnsi="宋体" w:cs="宋体"/>
                <w:kern w:val="0"/>
                <w:sz w:val="24"/>
              </w:rPr>
              <w:t xml:space="preserve">内部管理制度完善 2分 </w:t>
            </w:r>
          </w:p>
        </w:tc>
        <w:tc>
          <w:tcPr>
            <w:tcW w:w="1313" w:type="dxa"/>
            <w:vMerge w:val="continue"/>
            <w:tcBorders>
              <w:left w:val="single" w:color="auto" w:sz="4" w:space="0"/>
              <w:right w:val="single" w:color="auto" w:sz="4" w:space="0"/>
            </w:tcBorders>
            <w:vAlign w:val="center"/>
          </w:tcPr>
          <w:p>
            <w:pPr>
              <w:widowControl/>
              <w:rPr>
                <w:rFonts w:ascii="宋体" w:hAnsi="宋体" w:cs="宋体"/>
                <w:kern w:val="0"/>
                <w:sz w:val="24"/>
              </w:rPr>
            </w:pPr>
          </w:p>
        </w:tc>
        <w:tc>
          <w:tcPr>
            <w:tcW w:w="768" w:type="dxa"/>
            <w:vMerge w:val="continue"/>
            <w:tcBorders>
              <w:left w:val="single" w:color="auto" w:sz="4" w:space="0"/>
              <w:right w:val="single" w:color="auto" w:sz="4" w:space="0"/>
            </w:tcBorders>
            <w:vAlign w:val="center"/>
          </w:tcPr>
          <w:p>
            <w:pPr>
              <w:widowControl/>
              <w:jc w:val="left"/>
              <w:rPr>
                <w:rFonts w:ascii="宋体" w:hAnsi="宋体" w:cs="宋体"/>
                <w:kern w:val="0"/>
                <w:sz w:val="24"/>
              </w:rPr>
            </w:pPr>
          </w:p>
        </w:tc>
      </w:tr>
      <w:tr>
        <w:tblPrEx>
          <w:tblCellMar>
            <w:top w:w="0" w:type="dxa"/>
            <w:left w:w="108" w:type="dxa"/>
            <w:bottom w:w="0" w:type="dxa"/>
            <w:right w:w="108" w:type="dxa"/>
          </w:tblCellMar>
        </w:tblPrEx>
        <w:trPr>
          <w:trHeight w:val="390" w:hRule="atLeast"/>
        </w:trPr>
        <w:tc>
          <w:tcPr>
            <w:tcW w:w="1095" w:type="dxa"/>
            <w:vMerge w:val="continue"/>
            <w:tcBorders>
              <w:left w:val="single" w:color="auto" w:sz="8" w:space="0"/>
              <w:bottom w:val="single" w:color="auto" w:sz="4" w:space="0"/>
              <w:right w:val="single" w:color="auto" w:sz="4" w:space="0"/>
            </w:tcBorders>
            <w:vAlign w:val="center"/>
          </w:tcPr>
          <w:p>
            <w:pPr>
              <w:widowControl/>
              <w:jc w:val="center"/>
            </w:pPr>
          </w:p>
        </w:tc>
        <w:tc>
          <w:tcPr>
            <w:tcW w:w="1724"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pPr>
          </w:p>
        </w:tc>
        <w:tc>
          <w:tcPr>
            <w:tcW w:w="881"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pPr>
          </w:p>
        </w:tc>
        <w:tc>
          <w:tcPr>
            <w:tcW w:w="3523" w:type="dxa"/>
            <w:tcBorders>
              <w:top w:val="single" w:color="auto" w:sz="4" w:space="0"/>
              <w:left w:val="single" w:color="auto" w:sz="4" w:space="0"/>
              <w:bottom w:val="single" w:color="auto" w:sz="4" w:space="0"/>
              <w:right w:val="single" w:color="auto" w:sz="4" w:space="0"/>
            </w:tcBorders>
            <w:noWrap/>
            <w:vAlign w:val="center"/>
          </w:tcPr>
          <w:p>
            <w:pPr>
              <w:widowControl/>
              <w:rPr>
                <w:rFonts w:ascii="宋体" w:hAnsi="宋体" w:cs="宋体"/>
                <w:kern w:val="0"/>
                <w:sz w:val="24"/>
              </w:rPr>
            </w:pPr>
            <w:r>
              <w:rPr>
                <w:rFonts w:hint="eastAsia" w:ascii="宋体" w:hAnsi="宋体" w:cs="宋体"/>
                <w:kern w:val="0"/>
                <w:sz w:val="24"/>
              </w:rPr>
              <w:t>内部管理制度一般 1分</w:t>
            </w:r>
          </w:p>
        </w:tc>
        <w:tc>
          <w:tcPr>
            <w:tcW w:w="1313" w:type="dxa"/>
            <w:vMerge w:val="continue"/>
            <w:tcBorders>
              <w:left w:val="single" w:color="auto" w:sz="4" w:space="0"/>
              <w:bottom w:val="single" w:color="auto" w:sz="4" w:space="0"/>
              <w:right w:val="single" w:color="auto" w:sz="4" w:space="0"/>
            </w:tcBorders>
            <w:vAlign w:val="center"/>
          </w:tcPr>
          <w:p>
            <w:pPr>
              <w:widowControl/>
              <w:rPr>
                <w:rFonts w:ascii="宋体" w:hAnsi="宋体" w:cs="宋体"/>
                <w:kern w:val="0"/>
                <w:sz w:val="24"/>
              </w:rPr>
            </w:pPr>
          </w:p>
        </w:tc>
        <w:tc>
          <w:tcPr>
            <w:tcW w:w="768"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p>
        </w:tc>
      </w:tr>
      <w:tr>
        <w:tblPrEx>
          <w:tblCellMar>
            <w:top w:w="0" w:type="dxa"/>
            <w:left w:w="108" w:type="dxa"/>
            <w:bottom w:w="0" w:type="dxa"/>
            <w:right w:w="108" w:type="dxa"/>
          </w:tblCellMar>
        </w:tblPrEx>
        <w:trPr>
          <w:trHeight w:val="467" w:hRule="atLeast"/>
        </w:trPr>
        <w:tc>
          <w:tcPr>
            <w:tcW w:w="1095" w:type="dxa"/>
            <w:vMerge w:val="restart"/>
            <w:tcBorders>
              <w:top w:val="nil"/>
              <w:left w:val="single" w:color="auto" w:sz="8" w:space="0"/>
              <w:bottom w:val="single" w:color="000000" w:sz="8"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估价</w:t>
            </w:r>
          </w:p>
          <w:p>
            <w:pPr>
              <w:widowControl/>
              <w:jc w:val="center"/>
              <w:rPr>
                <w:rFonts w:ascii="宋体" w:hAnsi="宋体" w:cs="宋体"/>
                <w:kern w:val="0"/>
                <w:sz w:val="24"/>
              </w:rPr>
            </w:pPr>
            <w:r>
              <w:rPr>
                <w:rFonts w:hint="eastAsia" w:ascii="宋体" w:hAnsi="宋体" w:cs="宋体"/>
                <w:kern w:val="0"/>
                <w:sz w:val="24"/>
              </w:rPr>
              <w:t>业务   （15分）</w:t>
            </w:r>
          </w:p>
        </w:tc>
        <w:tc>
          <w:tcPr>
            <w:tcW w:w="1724"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xml:space="preserve"> 备案估价报告总数         </w:t>
            </w:r>
          </w:p>
        </w:tc>
        <w:tc>
          <w:tcPr>
            <w:tcW w:w="881"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5</w:t>
            </w:r>
          </w:p>
        </w:tc>
        <w:tc>
          <w:tcPr>
            <w:tcW w:w="3523" w:type="dxa"/>
            <w:tcBorders>
              <w:top w:val="single" w:color="auto" w:sz="4" w:space="0"/>
              <w:left w:val="single" w:color="auto" w:sz="4" w:space="0"/>
              <w:bottom w:val="single" w:color="auto" w:sz="4" w:space="0"/>
              <w:right w:val="single" w:color="auto" w:sz="4" w:space="0"/>
            </w:tcBorders>
            <w:noWrap/>
            <w:vAlign w:val="center"/>
          </w:tcPr>
          <w:p>
            <w:pPr>
              <w:widowControl/>
              <w:rPr>
                <w:rFonts w:ascii="宋体" w:hAnsi="宋体" w:cs="宋体"/>
                <w:kern w:val="0"/>
                <w:sz w:val="24"/>
              </w:rPr>
            </w:pPr>
            <w:r>
              <w:rPr>
                <w:rFonts w:hint="eastAsia" w:ascii="宋体" w:hAnsi="宋体" w:cs="宋体"/>
                <w:kern w:val="0"/>
                <w:sz w:val="24"/>
              </w:rPr>
              <w:t>参评机构前20%  5分</w:t>
            </w:r>
          </w:p>
        </w:tc>
        <w:tc>
          <w:tcPr>
            <w:tcW w:w="1313" w:type="dxa"/>
            <w:vMerge w:val="restart"/>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kern w:val="0"/>
                <w:sz w:val="24"/>
              </w:rPr>
            </w:pPr>
            <w:r>
              <w:rPr>
                <w:rFonts w:hint="eastAsia" w:ascii="宋体" w:hAnsi="宋体" w:cs="宋体"/>
                <w:kern w:val="0"/>
                <w:sz w:val="24"/>
              </w:rPr>
              <w:t>以评定年度全省机构报告备案统计为准</w:t>
            </w:r>
          </w:p>
        </w:tc>
        <w:tc>
          <w:tcPr>
            <w:tcW w:w="768" w:type="dxa"/>
            <w:vMerge w:val="restart"/>
            <w:tcBorders>
              <w:top w:val="single" w:color="auto" w:sz="4" w:space="0"/>
              <w:left w:val="single" w:color="auto" w:sz="4" w:space="0"/>
              <w:right w:val="single" w:color="auto" w:sz="8" w:space="0"/>
            </w:tcBorders>
            <w:noWrap/>
            <w:vAlign w:val="center"/>
          </w:tcPr>
          <w:p>
            <w:pPr>
              <w:widowControl/>
              <w:jc w:val="center"/>
              <w:rPr>
                <w:rFonts w:ascii="宋体" w:hAnsi="宋体" w:cs="宋体"/>
                <w:kern w:val="0"/>
                <w:sz w:val="24"/>
              </w:rPr>
            </w:pPr>
          </w:p>
          <w:p>
            <w:pPr>
              <w:widowControl/>
              <w:jc w:val="center"/>
              <w:rPr>
                <w:rFonts w:ascii="宋体" w:hAnsi="宋体" w:cs="宋体"/>
                <w:kern w:val="0"/>
                <w:sz w:val="24"/>
              </w:rPr>
            </w:pPr>
            <w:r>
              <w:rPr>
                <w:rFonts w:hint="eastAsia" w:ascii="宋体" w:hAnsi="宋体" w:cs="宋体"/>
                <w:kern w:val="0"/>
                <w:sz w:val="24"/>
              </w:rPr>
              <w:t>　</w:t>
            </w:r>
          </w:p>
          <w:p>
            <w:pPr>
              <w:jc w:val="center"/>
              <w:rPr>
                <w:rFonts w:ascii="宋体" w:hAnsi="宋体" w:cs="宋体"/>
                <w:kern w:val="0"/>
                <w:sz w:val="24"/>
              </w:rPr>
            </w:pPr>
            <w:r>
              <w:rPr>
                <w:rFonts w:hint="eastAsia" w:ascii="宋体" w:hAnsi="宋体" w:cs="宋体"/>
                <w:kern w:val="0"/>
                <w:sz w:val="24"/>
              </w:rPr>
              <w:t>　</w:t>
            </w:r>
          </w:p>
          <w:p>
            <w:pPr>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399" w:hRule="atLeast"/>
        </w:trPr>
        <w:tc>
          <w:tcPr>
            <w:tcW w:w="1095" w:type="dxa"/>
            <w:vMerge w:val="continue"/>
            <w:tcBorders>
              <w:top w:val="nil"/>
              <w:left w:val="single" w:color="auto" w:sz="8" w:space="0"/>
              <w:bottom w:val="single" w:color="000000" w:sz="8" w:space="0"/>
              <w:right w:val="single" w:color="auto" w:sz="4" w:space="0"/>
            </w:tcBorders>
            <w:vAlign w:val="center"/>
          </w:tcPr>
          <w:p>
            <w:pPr>
              <w:widowControl/>
              <w:jc w:val="left"/>
              <w:rPr>
                <w:rFonts w:ascii="宋体" w:hAnsi="宋体" w:cs="宋体"/>
                <w:kern w:val="0"/>
                <w:sz w:val="24"/>
              </w:rPr>
            </w:pPr>
          </w:p>
        </w:tc>
        <w:tc>
          <w:tcPr>
            <w:tcW w:w="172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881"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p>
        </w:tc>
        <w:tc>
          <w:tcPr>
            <w:tcW w:w="3523" w:type="dxa"/>
            <w:tcBorders>
              <w:top w:val="single" w:color="auto" w:sz="4" w:space="0"/>
              <w:left w:val="single" w:color="auto" w:sz="4" w:space="0"/>
              <w:bottom w:val="single" w:color="auto" w:sz="4" w:space="0"/>
              <w:right w:val="single" w:color="auto" w:sz="4" w:space="0"/>
            </w:tcBorders>
            <w:noWrap/>
            <w:vAlign w:val="center"/>
          </w:tcPr>
          <w:p>
            <w:pPr>
              <w:widowControl/>
              <w:rPr>
                <w:rFonts w:ascii="宋体" w:hAnsi="宋体" w:cs="宋体"/>
                <w:kern w:val="0"/>
                <w:sz w:val="24"/>
              </w:rPr>
            </w:pPr>
            <w:r>
              <w:rPr>
                <w:rFonts w:hint="eastAsia" w:ascii="宋体" w:hAnsi="宋体" w:cs="宋体"/>
                <w:kern w:val="0"/>
                <w:sz w:val="24"/>
              </w:rPr>
              <w:t>参评机构前21-50%  4分</w:t>
            </w:r>
          </w:p>
        </w:tc>
        <w:tc>
          <w:tcPr>
            <w:tcW w:w="1313"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kern w:val="0"/>
                <w:sz w:val="24"/>
              </w:rPr>
            </w:pPr>
          </w:p>
        </w:tc>
        <w:tc>
          <w:tcPr>
            <w:tcW w:w="768" w:type="dxa"/>
            <w:vMerge w:val="continue"/>
            <w:tcBorders>
              <w:left w:val="single" w:color="auto" w:sz="4" w:space="0"/>
              <w:right w:val="single" w:color="auto" w:sz="8" w:space="0"/>
            </w:tcBorders>
            <w:vAlign w:val="center"/>
          </w:tcPr>
          <w:p>
            <w:pPr>
              <w:jc w:val="center"/>
              <w:rPr>
                <w:rFonts w:ascii="宋体" w:hAnsi="宋体" w:cs="宋体"/>
                <w:kern w:val="0"/>
                <w:sz w:val="24"/>
              </w:rPr>
            </w:pPr>
          </w:p>
        </w:tc>
      </w:tr>
      <w:tr>
        <w:tblPrEx>
          <w:tblCellMar>
            <w:top w:w="0" w:type="dxa"/>
            <w:left w:w="108" w:type="dxa"/>
            <w:bottom w:w="0" w:type="dxa"/>
            <w:right w:w="108" w:type="dxa"/>
          </w:tblCellMar>
        </w:tblPrEx>
        <w:trPr>
          <w:trHeight w:val="389" w:hRule="atLeast"/>
        </w:trPr>
        <w:tc>
          <w:tcPr>
            <w:tcW w:w="1095" w:type="dxa"/>
            <w:vMerge w:val="continue"/>
            <w:tcBorders>
              <w:top w:val="nil"/>
              <w:left w:val="single" w:color="auto" w:sz="8" w:space="0"/>
              <w:bottom w:val="single" w:color="000000" w:sz="8" w:space="0"/>
              <w:right w:val="single" w:color="auto" w:sz="4" w:space="0"/>
            </w:tcBorders>
            <w:vAlign w:val="center"/>
          </w:tcPr>
          <w:p>
            <w:pPr>
              <w:widowControl/>
              <w:jc w:val="left"/>
              <w:rPr>
                <w:rFonts w:ascii="宋体" w:hAnsi="宋体" w:cs="宋体"/>
                <w:kern w:val="0"/>
                <w:sz w:val="24"/>
              </w:rPr>
            </w:pPr>
          </w:p>
        </w:tc>
        <w:tc>
          <w:tcPr>
            <w:tcW w:w="172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881"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p>
        </w:tc>
        <w:tc>
          <w:tcPr>
            <w:tcW w:w="3523" w:type="dxa"/>
            <w:tcBorders>
              <w:top w:val="single" w:color="auto" w:sz="4" w:space="0"/>
              <w:left w:val="single" w:color="auto" w:sz="4" w:space="0"/>
              <w:bottom w:val="single" w:color="auto" w:sz="4" w:space="0"/>
              <w:right w:val="single" w:color="auto" w:sz="4" w:space="0"/>
            </w:tcBorders>
            <w:noWrap/>
            <w:vAlign w:val="center"/>
          </w:tcPr>
          <w:p>
            <w:pPr>
              <w:widowControl/>
              <w:rPr>
                <w:rFonts w:ascii="宋体" w:hAnsi="宋体" w:cs="宋体"/>
                <w:kern w:val="0"/>
                <w:sz w:val="24"/>
              </w:rPr>
            </w:pPr>
            <w:r>
              <w:rPr>
                <w:rFonts w:hint="eastAsia" w:ascii="宋体" w:hAnsi="宋体" w:cs="宋体"/>
                <w:kern w:val="0"/>
                <w:sz w:val="24"/>
              </w:rPr>
              <w:t>其余  3分</w:t>
            </w:r>
          </w:p>
        </w:tc>
        <w:tc>
          <w:tcPr>
            <w:tcW w:w="1313"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kern w:val="0"/>
                <w:sz w:val="24"/>
              </w:rPr>
            </w:pPr>
          </w:p>
        </w:tc>
        <w:tc>
          <w:tcPr>
            <w:tcW w:w="768" w:type="dxa"/>
            <w:vMerge w:val="continue"/>
            <w:tcBorders>
              <w:left w:val="single" w:color="auto" w:sz="4" w:space="0"/>
              <w:bottom w:val="single" w:color="auto" w:sz="4" w:space="0"/>
              <w:right w:val="single" w:color="auto" w:sz="8" w:space="0"/>
            </w:tcBorders>
            <w:vAlign w:val="center"/>
          </w:tcPr>
          <w:p>
            <w:pPr>
              <w:jc w:val="center"/>
              <w:rPr>
                <w:rFonts w:ascii="宋体" w:hAnsi="宋体" w:cs="宋体"/>
                <w:kern w:val="0"/>
                <w:sz w:val="24"/>
              </w:rPr>
            </w:pPr>
          </w:p>
        </w:tc>
      </w:tr>
      <w:tr>
        <w:tblPrEx>
          <w:tblCellMar>
            <w:top w:w="0" w:type="dxa"/>
            <w:left w:w="108" w:type="dxa"/>
            <w:bottom w:w="0" w:type="dxa"/>
            <w:right w:w="108" w:type="dxa"/>
          </w:tblCellMar>
        </w:tblPrEx>
        <w:trPr>
          <w:trHeight w:val="381" w:hRule="atLeast"/>
        </w:trPr>
        <w:tc>
          <w:tcPr>
            <w:tcW w:w="1095" w:type="dxa"/>
            <w:vMerge w:val="continue"/>
            <w:tcBorders>
              <w:top w:val="nil"/>
              <w:left w:val="single" w:color="auto" w:sz="8" w:space="0"/>
              <w:bottom w:val="single" w:color="000000" w:sz="8" w:space="0"/>
              <w:right w:val="single" w:color="auto" w:sz="4" w:space="0"/>
            </w:tcBorders>
            <w:vAlign w:val="center"/>
          </w:tcPr>
          <w:p>
            <w:pPr>
              <w:widowControl/>
              <w:jc w:val="left"/>
              <w:rPr>
                <w:rFonts w:ascii="宋体" w:hAnsi="宋体" w:cs="宋体"/>
                <w:kern w:val="0"/>
                <w:sz w:val="24"/>
              </w:rPr>
            </w:pPr>
          </w:p>
        </w:tc>
        <w:tc>
          <w:tcPr>
            <w:tcW w:w="1724"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xml:space="preserve">评估总面积          </w:t>
            </w:r>
          </w:p>
        </w:tc>
        <w:tc>
          <w:tcPr>
            <w:tcW w:w="881"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5</w:t>
            </w:r>
          </w:p>
        </w:tc>
        <w:tc>
          <w:tcPr>
            <w:tcW w:w="3523" w:type="dxa"/>
            <w:tcBorders>
              <w:top w:val="single" w:color="auto" w:sz="4" w:space="0"/>
              <w:left w:val="single" w:color="auto" w:sz="4" w:space="0"/>
              <w:bottom w:val="single" w:color="auto" w:sz="4" w:space="0"/>
              <w:right w:val="single" w:color="auto" w:sz="4" w:space="0"/>
            </w:tcBorders>
            <w:noWrap/>
            <w:vAlign w:val="center"/>
          </w:tcPr>
          <w:p>
            <w:pPr>
              <w:widowControl/>
              <w:rPr>
                <w:rFonts w:ascii="宋体" w:hAnsi="宋体" w:cs="宋体"/>
                <w:kern w:val="0"/>
                <w:sz w:val="24"/>
              </w:rPr>
            </w:pPr>
            <w:r>
              <w:rPr>
                <w:rFonts w:hint="eastAsia" w:ascii="宋体" w:hAnsi="宋体" w:cs="宋体"/>
                <w:kern w:val="0"/>
                <w:sz w:val="24"/>
              </w:rPr>
              <w:t>参评机构前20%  5分</w:t>
            </w:r>
          </w:p>
        </w:tc>
        <w:tc>
          <w:tcPr>
            <w:tcW w:w="1313"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kern w:val="0"/>
                <w:sz w:val="24"/>
              </w:rPr>
            </w:pPr>
          </w:p>
        </w:tc>
        <w:tc>
          <w:tcPr>
            <w:tcW w:w="768" w:type="dxa"/>
            <w:vMerge w:val="restart"/>
            <w:tcBorders>
              <w:top w:val="single" w:color="auto" w:sz="4" w:space="0"/>
              <w:left w:val="single" w:color="auto" w:sz="4" w:space="0"/>
              <w:right w:val="single" w:color="auto" w:sz="8" w:space="0"/>
            </w:tcBorders>
            <w:noWrap/>
            <w:vAlign w:val="center"/>
          </w:tcPr>
          <w:p>
            <w:pPr>
              <w:jc w:val="center"/>
              <w:rPr>
                <w:rFonts w:ascii="宋体" w:hAnsi="宋体" w:cs="宋体"/>
                <w:kern w:val="0"/>
                <w:sz w:val="24"/>
              </w:rPr>
            </w:pPr>
          </w:p>
        </w:tc>
      </w:tr>
      <w:tr>
        <w:tblPrEx>
          <w:tblCellMar>
            <w:top w:w="0" w:type="dxa"/>
            <w:left w:w="108" w:type="dxa"/>
            <w:bottom w:w="0" w:type="dxa"/>
            <w:right w:w="108" w:type="dxa"/>
          </w:tblCellMar>
        </w:tblPrEx>
        <w:trPr>
          <w:trHeight w:val="454" w:hRule="atLeast"/>
        </w:trPr>
        <w:tc>
          <w:tcPr>
            <w:tcW w:w="1095" w:type="dxa"/>
            <w:vMerge w:val="continue"/>
            <w:tcBorders>
              <w:top w:val="nil"/>
              <w:left w:val="single" w:color="auto" w:sz="8" w:space="0"/>
              <w:bottom w:val="single" w:color="000000" w:sz="8" w:space="0"/>
              <w:right w:val="single" w:color="auto" w:sz="4" w:space="0"/>
            </w:tcBorders>
            <w:vAlign w:val="center"/>
          </w:tcPr>
          <w:p>
            <w:pPr>
              <w:widowControl/>
              <w:jc w:val="left"/>
              <w:rPr>
                <w:rFonts w:ascii="宋体" w:hAnsi="宋体" w:cs="宋体"/>
                <w:kern w:val="0"/>
                <w:sz w:val="24"/>
              </w:rPr>
            </w:pPr>
          </w:p>
        </w:tc>
        <w:tc>
          <w:tcPr>
            <w:tcW w:w="172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881"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p>
        </w:tc>
        <w:tc>
          <w:tcPr>
            <w:tcW w:w="3523" w:type="dxa"/>
            <w:tcBorders>
              <w:top w:val="single" w:color="auto" w:sz="4" w:space="0"/>
              <w:left w:val="single" w:color="auto" w:sz="4" w:space="0"/>
              <w:bottom w:val="single" w:color="auto" w:sz="4" w:space="0"/>
              <w:right w:val="single" w:color="auto" w:sz="4" w:space="0"/>
            </w:tcBorders>
            <w:noWrap/>
            <w:vAlign w:val="center"/>
          </w:tcPr>
          <w:p>
            <w:pPr>
              <w:widowControl/>
              <w:rPr>
                <w:rFonts w:ascii="宋体" w:hAnsi="宋体" w:cs="宋体"/>
                <w:kern w:val="0"/>
                <w:sz w:val="24"/>
              </w:rPr>
            </w:pPr>
            <w:r>
              <w:rPr>
                <w:rFonts w:hint="eastAsia" w:ascii="宋体" w:hAnsi="宋体" w:cs="宋体"/>
                <w:kern w:val="0"/>
                <w:sz w:val="24"/>
              </w:rPr>
              <w:t>参评机构前21-50%  4分</w:t>
            </w:r>
          </w:p>
        </w:tc>
        <w:tc>
          <w:tcPr>
            <w:tcW w:w="1313"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kern w:val="0"/>
                <w:sz w:val="24"/>
              </w:rPr>
            </w:pPr>
          </w:p>
        </w:tc>
        <w:tc>
          <w:tcPr>
            <w:tcW w:w="768" w:type="dxa"/>
            <w:vMerge w:val="continue"/>
            <w:tcBorders>
              <w:left w:val="single" w:color="auto" w:sz="4" w:space="0"/>
              <w:right w:val="single" w:color="auto" w:sz="8" w:space="0"/>
            </w:tcBorders>
            <w:vAlign w:val="center"/>
          </w:tcPr>
          <w:p>
            <w:pPr>
              <w:jc w:val="center"/>
              <w:rPr>
                <w:rFonts w:ascii="宋体" w:hAnsi="宋体" w:cs="宋体"/>
                <w:kern w:val="0"/>
                <w:sz w:val="24"/>
              </w:rPr>
            </w:pPr>
          </w:p>
        </w:tc>
      </w:tr>
      <w:tr>
        <w:tblPrEx>
          <w:tblCellMar>
            <w:top w:w="0" w:type="dxa"/>
            <w:left w:w="108" w:type="dxa"/>
            <w:bottom w:w="0" w:type="dxa"/>
            <w:right w:w="108" w:type="dxa"/>
          </w:tblCellMar>
        </w:tblPrEx>
        <w:trPr>
          <w:trHeight w:val="435" w:hRule="atLeast"/>
        </w:trPr>
        <w:tc>
          <w:tcPr>
            <w:tcW w:w="1095" w:type="dxa"/>
            <w:vMerge w:val="continue"/>
            <w:tcBorders>
              <w:top w:val="nil"/>
              <w:left w:val="single" w:color="auto" w:sz="8" w:space="0"/>
              <w:bottom w:val="single" w:color="000000" w:sz="8" w:space="0"/>
              <w:right w:val="single" w:color="auto" w:sz="4" w:space="0"/>
            </w:tcBorders>
            <w:vAlign w:val="center"/>
          </w:tcPr>
          <w:p>
            <w:pPr>
              <w:widowControl/>
              <w:jc w:val="left"/>
              <w:rPr>
                <w:rFonts w:ascii="宋体" w:hAnsi="宋体" w:cs="宋体"/>
                <w:kern w:val="0"/>
                <w:sz w:val="24"/>
              </w:rPr>
            </w:pPr>
          </w:p>
        </w:tc>
        <w:tc>
          <w:tcPr>
            <w:tcW w:w="172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881"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p>
        </w:tc>
        <w:tc>
          <w:tcPr>
            <w:tcW w:w="3523" w:type="dxa"/>
            <w:tcBorders>
              <w:top w:val="single" w:color="auto" w:sz="4" w:space="0"/>
              <w:left w:val="single" w:color="auto" w:sz="4" w:space="0"/>
              <w:bottom w:val="single" w:color="auto" w:sz="4" w:space="0"/>
              <w:right w:val="single" w:color="auto" w:sz="4" w:space="0"/>
            </w:tcBorders>
            <w:noWrap/>
            <w:vAlign w:val="center"/>
          </w:tcPr>
          <w:p>
            <w:pPr>
              <w:widowControl/>
              <w:rPr>
                <w:rFonts w:ascii="宋体" w:hAnsi="宋体" w:cs="宋体"/>
                <w:kern w:val="0"/>
                <w:sz w:val="24"/>
              </w:rPr>
            </w:pPr>
            <w:r>
              <w:rPr>
                <w:rFonts w:hint="eastAsia" w:ascii="宋体" w:hAnsi="宋体" w:cs="宋体"/>
                <w:kern w:val="0"/>
                <w:sz w:val="24"/>
              </w:rPr>
              <w:t>其余  3分</w:t>
            </w:r>
          </w:p>
        </w:tc>
        <w:tc>
          <w:tcPr>
            <w:tcW w:w="1313"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kern w:val="0"/>
                <w:sz w:val="24"/>
              </w:rPr>
            </w:pPr>
          </w:p>
        </w:tc>
        <w:tc>
          <w:tcPr>
            <w:tcW w:w="768" w:type="dxa"/>
            <w:vMerge w:val="continue"/>
            <w:tcBorders>
              <w:left w:val="single" w:color="auto" w:sz="4" w:space="0"/>
              <w:bottom w:val="single" w:color="auto" w:sz="4" w:space="0"/>
              <w:right w:val="single" w:color="auto" w:sz="8" w:space="0"/>
            </w:tcBorders>
            <w:vAlign w:val="center"/>
          </w:tcPr>
          <w:p>
            <w:pPr>
              <w:jc w:val="center"/>
              <w:rPr>
                <w:rFonts w:ascii="宋体" w:hAnsi="宋体" w:cs="宋体"/>
                <w:kern w:val="0"/>
                <w:sz w:val="24"/>
              </w:rPr>
            </w:pPr>
          </w:p>
        </w:tc>
      </w:tr>
      <w:tr>
        <w:tblPrEx>
          <w:tblCellMar>
            <w:top w:w="0" w:type="dxa"/>
            <w:left w:w="108" w:type="dxa"/>
            <w:bottom w:w="0" w:type="dxa"/>
            <w:right w:w="108" w:type="dxa"/>
          </w:tblCellMar>
        </w:tblPrEx>
        <w:trPr>
          <w:trHeight w:val="454" w:hRule="atLeast"/>
        </w:trPr>
        <w:tc>
          <w:tcPr>
            <w:tcW w:w="1095" w:type="dxa"/>
            <w:vMerge w:val="continue"/>
            <w:tcBorders>
              <w:top w:val="nil"/>
              <w:left w:val="single" w:color="auto" w:sz="8" w:space="0"/>
              <w:bottom w:val="single" w:color="000000" w:sz="8" w:space="0"/>
              <w:right w:val="single" w:color="auto" w:sz="4" w:space="0"/>
            </w:tcBorders>
            <w:vAlign w:val="center"/>
          </w:tcPr>
          <w:p>
            <w:pPr>
              <w:widowControl/>
              <w:jc w:val="left"/>
              <w:rPr>
                <w:rFonts w:ascii="宋体" w:hAnsi="宋体" w:cs="宋体"/>
                <w:kern w:val="0"/>
                <w:sz w:val="24"/>
              </w:rPr>
            </w:pPr>
          </w:p>
        </w:tc>
        <w:tc>
          <w:tcPr>
            <w:tcW w:w="1724"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p>
          <w:p>
            <w:pPr>
              <w:widowControl/>
              <w:jc w:val="center"/>
              <w:rPr>
                <w:rFonts w:ascii="宋体" w:hAnsi="宋体" w:cs="宋体"/>
                <w:kern w:val="0"/>
                <w:sz w:val="24"/>
              </w:rPr>
            </w:pPr>
            <w:r>
              <w:rPr>
                <w:rFonts w:hint="eastAsia" w:ascii="宋体" w:hAnsi="宋体" w:cs="宋体"/>
                <w:kern w:val="0"/>
                <w:sz w:val="24"/>
              </w:rPr>
              <w:t xml:space="preserve">评估总金额         </w:t>
            </w:r>
          </w:p>
        </w:tc>
        <w:tc>
          <w:tcPr>
            <w:tcW w:w="881"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kern w:val="0"/>
                <w:sz w:val="24"/>
              </w:rPr>
            </w:pPr>
          </w:p>
          <w:p>
            <w:pPr>
              <w:widowControl/>
              <w:jc w:val="center"/>
              <w:rPr>
                <w:rFonts w:ascii="宋体" w:hAnsi="宋体" w:cs="宋体"/>
                <w:kern w:val="0"/>
                <w:sz w:val="24"/>
              </w:rPr>
            </w:pPr>
            <w:r>
              <w:rPr>
                <w:rFonts w:hint="eastAsia" w:ascii="宋体" w:hAnsi="宋体" w:cs="宋体"/>
                <w:kern w:val="0"/>
                <w:sz w:val="24"/>
              </w:rPr>
              <w:t>5</w:t>
            </w:r>
          </w:p>
        </w:tc>
        <w:tc>
          <w:tcPr>
            <w:tcW w:w="3523" w:type="dxa"/>
            <w:tcBorders>
              <w:top w:val="single" w:color="auto" w:sz="4" w:space="0"/>
              <w:left w:val="single" w:color="auto" w:sz="4" w:space="0"/>
              <w:bottom w:val="single" w:color="auto" w:sz="4" w:space="0"/>
              <w:right w:val="single" w:color="auto" w:sz="4" w:space="0"/>
            </w:tcBorders>
            <w:noWrap/>
            <w:vAlign w:val="center"/>
          </w:tcPr>
          <w:p>
            <w:pPr>
              <w:widowControl/>
              <w:rPr>
                <w:rFonts w:ascii="宋体" w:hAnsi="宋体" w:cs="宋体"/>
                <w:kern w:val="0"/>
                <w:sz w:val="24"/>
              </w:rPr>
            </w:pPr>
            <w:r>
              <w:rPr>
                <w:rFonts w:hint="eastAsia" w:ascii="宋体" w:hAnsi="宋体" w:cs="宋体"/>
                <w:kern w:val="0"/>
                <w:sz w:val="24"/>
              </w:rPr>
              <w:t>参评机构前20%  5分</w:t>
            </w:r>
          </w:p>
        </w:tc>
        <w:tc>
          <w:tcPr>
            <w:tcW w:w="1313"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kern w:val="0"/>
                <w:sz w:val="24"/>
              </w:rPr>
            </w:pPr>
          </w:p>
        </w:tc>
        <w:tc>
          <w:tcPr>
            <w:tcW w:w="768" w:type="dxa"/>
            <w:vMerge w:val="restart"/>
            <w:tcBorders>
              <w:top w:val="single" w:color="auto" w:sz="4" w:space="0"/>
              <w:left w:val="single" w:color="auto" w:sz="4" w:space="0"/>
              <w:right w:val="single" w:color="auto" w:sz="8" w:space="0"/>
            </w:tcBorders>
            <w:noWrap/>
            <w:vAlign w:val="center"/>
          </w:tcPr>
          <w:p>
            <w:pPr>
              <w:widowControl/>
              <w:jc w:val="center"/>
              <w:rPr>
                <w:rFonts w:ascii="宋体" w:hAnsi="宋体" w:cs="宋体"/>
                <w:kern w:val="0"/>
                <w:sz w:val="24"/>
              </w:rPr>
            </w:pPr>
          </w:p>
        </w:tc>
      </w:tr>
      <w:tr>
        <w:tblPrEx>
          <w:tblCellMar>
            <w:top w:w="0" w:type="dxa"/>
            <w:left w:w="108" w:type="dxa"/>
            <w:bottom w:w="0" w:type="dxa"/>
            <w:right w:w="108" w:type="dxa"/>
          </w:tblCellMar>
        </w:tblPrEx>
        <w:trPr>
          <w:trHeight w:val="508" w:hRule="atLeast"/>
        </w:trPr>
        <w:tc>
          <w:tcPr>
            <w:tcW w:w="1095" w:type="dxa"/>
            <w:vMerge w:val="continue"/>
            <w:tcBorders>
              <w:top w:val="nil"/>
              <w:left w:val="single" w:color="auto" w:sz="8" w:space="0"/>
              <w:bottom w:val="single" w:color="000000" w:sz="8" w:space="0"/>
              <w:right w:val="single" w:color="auto" w:sz="4" w:space="0"/>
            </w:tcBorders>
            <w:vAlign w:val="center"/>
          </w:tcPr>
          <w:p>
            <w:pPr>
              <w:widowControl/>
              <w:jc w:val="left"/>
              <w:rPr>
                <w:rFonts w:ascii="宋体" w:hAnsi="宋体" w:cs="宋体"/>
                <w:kern w:val="0"/>
                <w:sz w:val="24"/>
              </w:rPr>
            </w:pPr>
          </w:p>
        </w:tc>
        <w:tc>
          <w:tcPr>
            <w:tcW w:w="172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881"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p>
        </w:tc>
        <w:tc>
          <w:tcPr>
            <w:tcW w:w="3523" w:type="dxa"/>
            <w:tcBorders>
              <w:top w:val="single" w:color="auto" w:sz="4" w:space="0"/>
              <w:left w:val="single" w:color="auto" w:sz="4" w:space="0"/>
              <w:bottom w:val="single" w:color="auto" w:sz="4" w:space="0"/>
              <w:right w:val="single" w:color="auto" w:sz="4" w:space="0"/>
            </w:tcBorders>
            <w:noWrap/>
            <w:vAlign w:val="center"/>
          </w:tcPr>
          <w:p>
            <w:pPr>
              <w:widowControl/>
              <w:rPr>
                <w:rFonts w:ascii="宋体" w:hAnsi="宋体" w:cs="宋体"/>
                <w:kern w:val="0"/>
                <w:sz w:val="24"/>
              </w:rPr>
            </w:pPr>
            <w:r>
              <w:rPr>
                <w:rFonts w:hint="eastAsia" w:ascii="宋体" w:hAnsi="宋体" w:cs="宋体"/>
                <w:kern w:val="0"/>
                <w:sz w:val="24"/>
              </w:rPr>
              <w:t>参评机构前21-50%  4分</w:t>
            </w:r>
          </w:p>
        </w:tc>
        <w:tc>
          <w:tcPr>
            <w:tcW w:w="1313"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kern w:val="0"/>
                <w:sz w:val="24"/>
              </w:rPr>
            </w:pPr>
          </w:p>
        </w:tc>
        <w:tc>
          <w:tcPr>
            <w:tcW w:w="768" w:type="dxa"/>
            <w:vMerge w:val="continue"/>
            <w:tcBorders>
              <w:left w:val="single" w:color="auto" w:sz="4" w:space="0"/>
              <w:right w:val="single" w:color="auto" w:sz="8" w:space="0"/>
            </w:tcBorders>
            <w:vAlign w:val="center"/>
          </w:tcPr>
          <w:p>
            <w:pPr>
              <w:jc w:val="center"/>
              <w:rPr>
                <w:rFonts w:ascii="宋体" w:hAnsi="宋体" w:cs="宋体"/>
                <w:kern w:val="0"/>
                <w:sz w:val="24"/>
              </w:rPr>
            </w:pPr>
          </w:p>
        </w:tc>
      </w:tr>
      <w:tr>
        <w:tblPrEx>
          <w:tblCellMar>
            <w:top w:w="0" w:type="dxa"/>
            <w:left w:w="108" w:type="dxa"/>
            <w:bottom w:w="0" w:type="dxa"/>
            <w:right w:w="108" w:type="dxa"/>
          </w:tblCellMar>
        </w:tblPrEx>
        <w:trPr>
          <w:trHeight w:val="460" w:hRule="atLeast"/>
        </w:trPr>
        <w:tc>
          <w:tcPr>
            <w:tcW w:w="1095" w:type="dxa"/>
            <w:vMerge w:val="continue"/>
            <w:tcBorders>
              <w:top w:val="nil"/>
              <w:left w:val="single" w:color="auto" w:sz="8" w:space="0"/>
              <w:bottom w:val="single" w:color="000000" w:sz="8" w:space="0"/>
              <w:right w:val="single" w:color="auto" w:sz="4" w:space="0"/>
            </w:tcBorders>
            <w:vAlign w:val="center"/>
          </w:tcPr>
          <w:p>
            <w:pPr>
              <w:widowControl/>
              <w:jc w:val="left"/>
              <w:rPr>
                <w:rFonts w:ascii="宋体" w:hAnsi="宋体" w:cs="宋体"/>
                <w:kern w:val="0"/>
                <w:sz w:val="24"/>
              </w:rPr>
            </w:pPr>
          </w:p>
        </w:tc>
        <w:tc>
          <w:tcPr>
            <w:tcW w:w="172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881"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p>
        </w:tc>
        <w:tc>
          <w:tcPr>
            <w:tcW w:w="3523" w:type="dxa"/>
            <w:tcBorders>
              <w:top w:val="single" w:color="auto" w:sz="4" w:space="0"/>
              <w:left w:val="single" w:color="auto" w:sz="4" w:space="0"/>
              <w:bottom w:val="single" w:color="auto" w:sz="4" w:space="0"/>
              <w:right w:val="single" w:color="auto" w:sz="4" w:space="0"/>
            </w:tcBorders>
            <w:noWrap/>
            <w:vAlign w:val="center"/>
          </w:tcPr>
          <w:p>
            <w:pPr>
              <w:widowControl/>
              <w:rPr>
                <w:rFonts w:ascii="宋体" w:hAnsi="宋体" w:cs="宋体"/>
                <w:kern w:val="0"/>
                <w:sz w:val="24"/>
              </w:rPr>
            </w:pPr>
            <w:r>
              <w:rPr>
                <w:rFonts w:hint="eastAsia" w:ascii="宋体" w:hAnsi="宋体" w:cs="宋体"/>
                <w:kern w:val="0"/>
                <w:sz w:val="24"/>
              </w:rPr>
              <w:t>其余  3分</w:t>
            </w:r>
          </w:p>
        </w:tc>
        <w:tc>
          <w:tcPr>
            <w:tcW w:w="1313"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kern w:val="0"/>
                <w:sz w:val="24"/>
              </w:rPr>
            </w:pPr>
          </w:p>
        </w:tc>
        <w:tc>
          <w:tcPr>
            <w:tcW w:w="768" w:type="dxa"/>
            <w:vMerge w:val="continue"/>
            <w:tcBorders>
              <w:left w:val="single" w:color="auto" w:sz="4" w:space="0"/>
              <w:bottom w:val="single" w:color="auto" w:sz="4" w:space="0"/>
              <w:right w:val="single" w:color="auto" w:sz="8" w:space="0"/>
            </w:tcBorders>
            <w:vAlign w:val="center"/>
          </w:tcPr>
          <w:p>
            <w:pPr>
              <w:widowControl/>
              <w:jc w:val="left"/>
              <w:rPr>
                <w:rFonts w:ascii="宋体" w:hAnsi="宋体" w:cs="宋体"/>
                <w:kern w:val="0"/>
                <w:sz w:val="24"/>
              </w:rPr>
            </w:pPr>
          </w:p>
        </w:tc>
      </w:tr>
      <w:tr>
        <w:tblPrEx>
          <w:tblCellMar>
            <w:top w:w="0" w:type="dxa"/>
            <w:left w:w="108" w:type="dxa"/>
            <w:bottom w:w="0" w:type="dxa"/>
            <w:right w:w="108" w:type="dxa"/>
          </w:tblCellMar>
        </w:tblPrEx>
        <w:trPr>
          <w:trHeight w:val="418" w:hRule="atLeast"/>
        </w:trPr>
        <w:tc>
          <w:tcPr>
            <w:tcW w:w="1095" w:type="dxa"/>
            <w:vMerge w:val="restart"/>
            <w:tcBorders>
              <w:top w:val="single" w:color="auto" w:sz="8" w:space="0"/>
              <w:left w:val="single" w:color="auto" w:sz="8"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企业</w:t>
            </w:r>
          </w:p>
          <w:p>
            <w:pPr>
              <w:widowControl/>
              <w:jc w:val="center"/>
              <w:rPr>
                <w:rFonts w:ascii="宋体" w:hAnsi="宋体" w:cs="宋体"/>
                <w:kern w:val="0"/>
                <w:sz w:val="24"/>
              </w:rPr>
            </w:pPr>
            <w:r>
              <w:rPr>
                <w:rFonts w:hint="eastAsia" w:ascii="宋体" w:hAnsi="宋体" w:cs="宋体"/>
                <w:kern w:val="0"/>
                <w:sz w:val="24"/>
              </w:rPr>
              <w:t>经营</w:t>
            </w:r>
          </w:p>
          <w:p>
            <w:pPr>
              <w:widowControl/>
              <w:jc w:val="center"/>
              <w:rPr>
                <w:rFonts w:ascii="宋体" w:hAnsi="宋体" w:cs="宋体"/>
                <w:kern w:val="0"/>
                <w:sz w:val="24"/>
              </w:rPr>
            </w:pPr>
            <w:r>
              <w:rPr>
                <w:rFonts w:hint="eastAsia" w:ascii="宋体" w:hAnsi="宋体" w:cs="宋体"/>
                <w:kern w:val="0"/>
                <w:sz w:val="24"/>
              </w:rPr>
              <w:t>（8分）</w:t>
            </w:r>
          </w:p>
        </w:tc>
        <w:tc>
          <w:tcPr>
            <w:tcW w:w="1724"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 xml:space="preserve">  </w:t>
            </w:r>
          </w:p>
          <w:p>
            <w:pPr>
              <w:jc w:val="center"/>
              <w:rPr>
                <w:rFonts w:ascii="宋体" w:hAnsi="宋体" w:cs="宋体"/>
                <w:kern w:val="0"/>
                <w:sz w:val="24"/>
              </w:rPr>
            </w:pPr>
            <w:r>
              <w:rPr>
                <w:rFonts w:hint="eastAsia" w:ascii="宋体" w:hAnsi="宋体" w:cs="宋体"/>
                <w:kern w:val="0"/>
                <w:sz w:val="24"/>
              </w:rPr>
              <w:t xml:space="preserve"> 机构现场公示 </w:t>
            </w:r>
          </w:p>
        </w:tc>
        <w:tc>
          <w:tcPr>
            <w:tcW w:w="881" w:type="dxa"/>
            <w:vMerge w:val="restart"/>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kern w:val="0"/>
                <w:sz w:val="24"/>
              </w:rPr>
            </w:pPr>
            <w:r>
              <w:rPr>
                <w:rFonts w:hint="eastAsia" w:ascii="宋体" w:hAnsi="宋体" w:cs="宋体"/>
                <w:kern w:val="0"/>
                <w:sz w:val="24"/>
              </w:rPr>
              <w:t>1</w:t>
            </w:r>
          </w:p>
        </w:tc>
        <w:tc>
          <w:tcPr>
            <w:tcW w:w="3523" w:type="dxa"/>
            <w:tcBorders>
              <w:top w:val="single" w:color="auto" w:sz="4" w:space="0"/>
              <w:left w:val="single" w:color="auto" w:sz="4" w:space="0"/>
              <w:bottom w:val="single" w:color="auto" w:sz="4" w:space="0"/>
              <w:right w:val="single" w:color="auto" w:sz="4" w:space="0"/>
            </w:tcBorders>
            <w:noWrap/>
            <w:vAlign w:val="center"/>
          </w:tcPr>
          <w:p>
            <w:pPr>
              <w:widowControl/>
              <w:rPr>
                <w:rFonts w:ascii="宋体" w:hAnsi="宋体" w:cs="宋体"/>
                <w:kern w:val="0"/>
                <w:sz w:val="24"/>
              </w:rPr>
            </w:pPr>
            <w:r>
              <w:rPr>
                <w:rFonts w:hint="eastAsia" w:ascii="宋体" w:hAnsi="宋体" w:cs="宋体"/>
                <w:kern w:val="0"/>
                <w:sz w:val="24"/>
              </w:rPr>
              <w:t>估价师公示 0.5分</w:t>
            </w:r>
          </w:p>
        </w:tc>
        <w:tc>
          <w:tcPr>
            <w:tcW w:w="1313" w:type="dxa"/>
            <w:vMerge w:val="restart"/>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sz w:val="24"/>
              </w:rPr>
            </w:pPr>
            <w:r>
              <w:rPr>
                <w:rFonts w:hint="eastAsia" w:ascii="宋体" w:hAnsi="宋体" w:cs="宋体"/>
                <w:kern w:val="0"/>
                <w:sz w:val="24"/>
              </w:rPr>
              <w:t>现场照片</w:t>
            </w:r>
          </w:p>
        </w:tc>
        <w:tc>
          <w:tcPr>
            <w:tcW w:w="768" w:type="dxa"/>
            <w:tcBorders>
              <w:top w:val="single" w:color="auto" w:sz="4" w:space="0"/>
              <w:left w:val="single" w:color="auto" w:sz="4" w:space="0"/>
              <w:bottom w:val="single" w:color="auto" w:sz="4" w:space="0"/>
              <w:right w:val="single" w:color="auto" w:sz="8" w:space="0"/>
            </w:tcBorders>
            <w:noWrap/>
            <w:vAlign w:val="center"/>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442" w:hRule="atLeast"/>
        </w:trPr>
        <w:tc>
          <w:tcPr>
            <w:tcW w:w="1095" w:type="dxa"/>
            <w:vMerge w:val="continue"/>
            <w:tcBorders>
              <w:left w:val="single" w:color="auto" w:sz="8" w:space="0"/>
              <w:right w:val="single" w:color="auto" w:sz="4" w:space="0"/>
            </w:tcBorders>
            <w:vAlign w:val="center"/>
          </w:tcPr>
          <w:p>
            <w:pPr>
              <w:jc w:val="center"/>
            </w:pPr>
          </w:p>
        </w:tc>
        <w:tc>
          <w:tcPr>
            <w:tcW w:w="1724" w:type="dxa"/>
            <w:vMerge w:val="continue"/>
            <w:tcBorders>
              <w:top w:val="single" w:color="auto" w:sz="4" w:space="0"/>
              <w:left w:val="single" w:color="auto" w:sz="4" w:space="0"/>
              <w:bottom w:val="single" w:color="auto" w:sz="4" w:space="0"/>
              <w:right w:val="single" w:color="auto" w:sz="4" w:space="0"/>
            </w:tcBorders>
            <w:noWrap/>
            <w:vAlign w:val="center"/>
          </w:tcPr>
          <w:p>
            <w:pPr>
              <w:jc w:val="center"/>
            </w:pPr>
          </w:p>
        </w:tc>
        <w:tc>
          <w:tcPr>
            <w:tcW w:w="881" w:type="dxa"/>
            <w:vMerge w:val="continue"/>
            <w:tcBorders>
              <w:top w:val="single" w:color="auto" w:sz="4" w:space="0"/>
              <w:left w:val="single" w:color="auto" w:sz="4" w:space="0"/>
              <w:bottom w:val="single" w:color="auto" w:sz="4" w:space="0"/>
              <w:right w:val="single" w:color="auto" w:sz="4" w:space="0"/>
            </w:tcBorders>
            <w:noWrap/>
            <w:vAlign w:val="center"/>
          </w:tcPr>
          <w:p>
            <w:pPr>
              <w:jc w:val="center"/>
            </w:pPr>
          </w:p>
        </w:tc>
        <w:tc>
          <w:tcPr>
            <w:tcW w:w="3523"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kern w:val="0"/>
                <w:sz w:val="24"/>
              </w:rPr>
            </w:pPr>
            <w:r>
              <w:rPr>
                <w:rFonts w:hint="eastAsia" w:ascii="宋体" w:hAnsi="宋体" w:cs="宋体"/>
                <w:kern w:val="0"/>
                <w:sz w:val="24"/>
              </w:rPr>
              <w:t>收费标准公示 0.5分</w:t>
            </w:r>
          </w:p>
        </w:tc>
        <w:tc>
          <w:tcPr>
            <w:tcW w:w="1313"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sz w:val="24"/>
              </w:rPr>
            </w:pPr>
          </w:p>
        </w:tc>
        <w:tc>
          <w:tcPr>
            <w:tcW w:w="768" w:type="dxa"/>
            <w:tcBorders>
              <w:top w:val="single" w:color="auto" w:sz="4" w:space="0"/>
              <w:left w:val="single" w:color="auto" w:sz="4" w:space="0"/>
              <w:bottom w:val="single" w:color="auto" w:sz="4" w:space="0"/>
              <w:right w:val="single" w:color="auto" w:sz="8" w:space="0"/>
            </w:tcBorders>
            <w:noWrap/>
            <w:vAlign w:val="center"/>
          </w:tcPr>
          <w:p>
            <w:pPr>
              <w:jc w:val="center"/>
              <w:rPr>
                <w:rFonts w:ascii="宋体" w:hAnsi="宋体" w:cs="宋体"/>
                <w:kern w:val="0"/>
                <w:sz w:val="24"/>
              </w:rPr>
            </w:pPr>
          </w:p>
        </w:tc>
      </w:tr>
      <w:tr>
        <w:tblPrEx>
          <w:tblCellMar>
            <w:top w:w="0" w:type="dxa"/>
            <w:left w:w="108" w:type="dxa"/>
            <w:bottom w:w="0" w:type="dxa"/>
            <w:right w:w="108" w:type="dxa"/>
          </w:tblCellMar>
        </w:tblPrEx>
        <w:trPr>
          <w:trHeight w:val="425" w:hRule="atLeast"/>
        </w:trPr>
        <w:tc>
          <w:tcPr>
            <w:tcW w:w="1095" w:type="dxa"/>
            <w:vMerge w:val="continue"/>
            <w:tcBorders>
              <w:left w:val="single" w:color="auto" w:sz="8" w:space="0"/>
              <w:right w:val="single" w:color="auto" w:sz="4" w:space="0"/>
            </w:tcBorders>
            <w:vAlign w:val="center"/>
          </w:tcPr>
          <w:p>
            <w:pPr>
              <w:widowControl/>
              <w:jc w:val="left"/>
              <w:rPr>
                <w:rFonts w:ascii="宋体" w:hAnsi="宋体" w:cs="宋体"/>
                <w:kern w:val="0"/>
                <w:sz w:val="24"/>
              </w:rPr>
            </w:pPr>
          </w:p>
        </w:tc>
        <w:tc>
          <w:tcPr>
            <w:tcW w:w="1724" w:type="dxa"/>
            <w:vMerge w:val="restart"/>
            <w:tcBorders>
              <w:top w:val="single" w:color="auto" w:sz="4" w:space="0"/>
              <w:left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 xml:space="preserve"> 收费执行情况 </w:t>
            </w:r>
          </w:p>
        </w:tc>
        <w:tc>
          <w:tcPr>
            <w:tcW w:w="881" w:type="dxa"/>
            <w:vMerge w:val="restart"/>
            <w:tcBorders>
              <w:top w:val="single" w:color="auto" w:sz="4" w:space="0"/>
              <w:left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4</w:t>
            </w:r>
          </w:p>
        </w:tc>
        <w:tc>
          <w:tcPr>
            <w:tcW w:w="3523" w:type="dxa"/>
            <w:tcBorders>
              <w:top w:val="single" w:color="auto" w:sz="4" w:space="0"/>
              <w:left w:val="single" w:color="auto" w:sz="4" w:space="0"/>
              <w:bottom w:val="single" w:color="auto" w:sz="4" w:space="0"/>
              <w:right w:val="single" w:color="auto" w:sz="4" w:space="0"/>
            </w:tcBorders>
            <w:noWrap/>
            <w:vAlign w:val="center"/>
          </w:tcPr>
          <w:p>
            <w:pPr>
              <w:widowControl/>
              <w:rPr>
                <w:rFonts w:ascii="宋体" w:hAnsi="宋体" w:cs="宋体"/>
                <w:kern w:val="0"/>
                <w:sz w:val="24"/>
              </w:rPr>
            </w:pPr>
            <w:r>
              <w:rPr>
                <w:rFonts w:hint="eastAsia" w:ascii="宋体" w:hAnsi="宋体" w:cs="宋体"/>
                <w:kern w:val="0"/>
                <w:sz w:val="24"/>
              </w:rPr>
              <w:t>5年及以上执行收费标准 4分</w:t>
            </w:r>
          </w:p>
        </w:tc>
        <w:tc>
          <w:tcPr>
            <w:tcW w:w="1313" w:type="dxa"/>
            <w:vMerge w:val="restart"/>
            <w:tcBorders>
              <w:top w:val="single" w:color="auto" w:sz="4" w:space="0"/>
              <w:left w:val="single" w:color="auto" w:sz="4" w:space="0"/>
              <w:right w:val="single" w:color="auto" w:sz="4" w:space="0"/>
            </w:tcBorders>
            <w:vAlign w:val="center"/>
          </w:tcPr>
          <w:p>
            <w:pPr>
              <w:widowControl/>
              <w:rPr>
                <w:rFonts w:ascii="宋体" w:hAnsi="宋体" w:cs="宋体"/>
                <w:kern w:val="0"/>
                <w:sz w:val="24"/>
              </w:rPr>
            </w:pPr>
            <w:r>
              <w:rPr>
                <w:rFonts w:hint="eastAsia" w:ascii="宋体" w:hAnsi="宋体" w:cs="宋体"/>
                <w:kern w:val="0"/>
                <w:sz w:val="24"/>
              </w:rPr>
              <w:t>未被投诉举报</w:t>
            </w:r>
          </w:p>
        </w:tc>
        <w:tc>
          <w:tcPr>
            <w:tcW w:w="768" w:type="dxa"/>
            <w:vMerge w:val="restart"/>
            <w:tcBorders>
              <w:top w:val="single" w:color="auto" w:sz="4" w:space="0"/>
              <w:left w:val="single" w:color="auto" w:sz="4" w:space="0"/>
              <w:right w:val="single" w:color="auto" w:sz="8" w:space="0"/>
            </w:tcBorders>
            <w:vAlign w:val="center"/>
          </w:tcPr>
          <w:p>
            <w:pPr>
              <w:widowControl/>
              <w:jc w:val="left"/>
              <w:rPr>
                <w:rFonts w:ascii="宋体" w:hAnsi="宋体" w:cs="宋体"/>
                <w:kern w:val="0"/>
                <w:sz w:val="24"/>
              </w:rPr>
            </w:pPr>
          </w:p>
        </w:tc>
      </w:tr>
      <w:tr>
        <w:tblPrEx>
          <w:tblCellMar>
            <w:top w:w="0" w:type="dxa"/>
            <w:left w:w="108" w:type="dxa"/>
            <w:bottom w:w="0" w:type="dxa"/>
            <w:right w:w="108" w:type="dxa"/>
          </w:tblCellMar>
        </w:tblPrEx>
        <w:trPr>
          <w:trHeight w:val="487" w:hRule="atLeast"/>
        </w:trPr>
        <w:tc>
          <w:tcPr>
            <w:tcW w:w="1095" w:type="dxa"/>
            <w:vMerge w:val="continue"/>
            <w:tcBorders>
              <w:left w:val="single" w:color="auto" w:sz="8" w:space="0"/>
              <w:right w:val="single" w:color="auto" w:sz="4" w:space="0"/>
            </w:tcBorders>
            <w:vAlign w:val="center"/>
          </w:tcPr>
          <w:p>
            <w:pPr>
              <w:widowControl/>
              <w:jc w:val="left"/>
              <w:rPr>
                <w:rFonts w:ascii="宋体" w:hAnsi="宋体" w:cs="宋体"/>
                <w:kern w:val="0"/>
                <w:sz w:val="24"/>
              </w:rPr>
            </w:pPr>
          </w:p>
        </w:tc>
        <w:tc>
          <w:tcPr>
            <w:tcW w:w="1724" w:type="dxa"/>
            <w:vMerge w:val="continue"/>
            <w:tcBorders>
              <w:left w:val="single" w:color="auto" w:sz="4" w:space="0"/>
              <w:right w:val="single" w:color="auto" w:sz="4" w:space="0"/>
            </w:tcBorders>
            <w:noWrap/>
            <w:vAlign w:val="center"/>
          </w:tcPr>
          <w:p>
            <w:pPr>
              <w:widowControl/>
              <w:jc w:val="center"/>
              <w:rPr>
                <w:rFonts w:ascii="宋体" w:hAnsi="宋体" w:cs="宋体"/>
                <w:kern w:val="0"/>
                <w:sz w:val="24"/>
              </w:rPr>
            </w:pPr>
          </w:p>
        </w:tc>
        <w:tc>
          <w:tcPr>
            <w:tcW w:w="881" w:type="dxa"/>
            <w:vMerge w:val="continue"/>
            <w:tcBorders>
              <w:left w:val="single" w:color="auto" w:sz="4" w:space="0"/>
              <w:right w:val="single" w:color="auto" w:sz="4" w:space="0"/>
            </w:tcBorders>
            <w:noWrap/>
            <w:vAlign w:val="center"/>
          </w:tcPr>
          <w:p>
            <w:pPr>
              <w:widowControl/>
              <w:jc w:val="center"/>
              <w:rPr>
                <w:rFonts w:ascii="宋体" w:hAnsi="宋体" w:cs="宋体"/>
                <w:kern w:val="0"/>
                <w:sz w:val="24"/>
              </w:rPr>
            </w:pPr>
          </w:p>
        </w:tc>
        <w:tc>
          <w:tcPr>
            <w:tcW w:w="3523" w:type="dxa"/>
            <w:tcBorders>
              <w:top w:val="single" w:color="auto" w:sz="4" w:space="0"/>
              <w:left w:val="single" w:color="auto" w:sz="4" w:space="0"/>
              <w:bottom w:val="single" w:color="auto" w:sz="4" w:space="0"/>
              <w:right w:val="single" w:color="auto" w:sz="4" w:space="0"/>
            </w:tcBorders>
            <w:noWrap/>
            <w:vAlign w:val="center"/>
          </w:tcPr>
          <w:p>
            <w:pPr>
              <w:widowControl/>
              <w:rPr>
                <w:rFonts w:ascii="宋体" w:hAnsi="宋体" w:cs="宋体"/>
                <w:kern w:val="0"/>
                <w:sz w:val="24"/>
              </w:rPr>
            </w:pPr>
            <w:r>
              <w:rPr>
                <w:rFonts w:hint="eastAsia" w:ascii="宋体" w:hAnsi="宋体" w:cs="宋体"/>
                <w:kern w:val="0"/>
                <w:sz w:val="24"/>
              </w:rPr>
              <w:t>3-5年执行收费标准 3分</w:t>
            </w:r>
          </w:p>
        </w:tc>
        <w:tc>
          <w:tcPr>
            <w:tcW w:w="1313" w:type="dxa"/>
            <w:vMerge w:val="continue"/>
            <w:tcBorders>
              <w:left w:val="single" w:color="auto" w:sz="4" w:space="0"/>
              <w:right w:val="single" w:color="auto" w:sz="4" w:space="0"/>
            </w:tcBorders>
            <w:vAlign w:val="center"/>
          </w:tcPr>
          <w:p>
            <w:pPr>
              <w:widowControl/>
              <w:rPr>
                <w:rFonts w:ascii="宋体" w:hAnsi="宋体" w:cs="宋体"/>
                <w:kern w:val="0"/>
                <w:sz w:val="24"/>
              </w:rPr>
            </w:pPr>
          </w:p>
        </w:tc>
        <w:tc>
          <w:tcPr>
            <w:tcW w:w="768" w:type="dxa"/>
            <w:vMerge w:val="continue"/>
            <w:tcBorders>
              <w:left w:val="single" w:color="auto" w:sz="4" w:space="0"/>
              <w:right w:val="single" w:color="auto" w:sz="8" w:space="0"/>
            </w:tcBorders>
            <w:vAlign w:val="center"/>
          </w:tcPr>
          <w:p>
            <w:pPr>
              <w:widowControl/>
              <w:jc w:val="left"/>
              <w:rPr>
                <w:rFonts w:ascii="宋体" w:hAnsi="宋体" w:cs="宋体"/>
                <w:kern w:val="0"/>
                <w:sz w:val="24"/>
              </w:rPr>
            </w:pPr>
          </w:p>
        </w:tc>
      </w:tr>
      <w:tr>
        <w:tblPrEx>
          <w:tblCellMar>
            <w:top w:w="0" w:type="dxa"/>
            <w:left w:w="108" w:type="dxa"/>
            <w:bottom w:w="0" w:type="dxa"/>
            <w:right w:w="108" w:type="dxa"/>
          </w:tblCellMar>
        </w:tblPrEx>
        <w:trPr>
          <w:trHeight w:val="491" w:hRule="atLeast"/>
        </w:trPr>
        <w:tc>
          <w:tcPr>
            <w:tcW w:w="1095" w:type="dxa"/>
            <w:vMerge w:val="continue"/>
            <w:tcBorders>
              <w:left w:val="single" w:color="auto" w:sz="8" w:space="0"/>
              <w:right w:val="single" w:color="auto" w:sz="4" w:space="0"/>
            </w:tcBorders>
            <w:vAlign w:val="center"/>
          </w:tcPr>
          <w:p>
            <w:pPr>
              <w:widowControl/>
              <w:jc w:val="center"/>
            </w:pPr>
          </w:p>
        </w:tc>
        <w:tc>
          <w:tcPr>
            <w:tcW w:w="1724" w:type="dxa"/>
            <w:vMerge w:val="continue"/>
            <w:tcBorders>
              <w:left w:val="single" w:color="auto" w:sz="4" w:space="0"/>
              <w:right w:val="single" w:color="auto" w:sz="4" w:space="0"/>
            </w:tcBorders>
            <w:noWrap/>
            <w:vAlign w:val="center"/>
          </w:tcPr>
          <w:p>
            <w:pPr>
              <w:widowControl/>
              <w:jc w:val="center"/>
            </w:pPr>
          </w:p>
        </w:tc>
        <w:tc>
          <w:tcPr>
            <w:tcW w:w="881" w:type="dxa"/>
            <w:vMerge w:val="continue"/>
            <w:tcBorders>
              <w:left w:val="single" w:color="auto" w:sz="4" w:space="0"/>
              <w:right w:val="single" w:color="auto" w:sz="4" w:space="0"/>
            </w:tcBorders>
            <w:noWrap/>
            <w:vAlign w:val="center"/>
          </w:tcPr>
          <w:p>
            <w:pPr>
              <w:widowControl/>
              <w:jc w:val="center"/>
            </w:pPr>
          </w:p>
        </w:tc>
        <w:tc>
          <w:tcPr>
            <w:tcW w:w="3523" w:type="dxa"/>
            <w:tcBorders>
              <w:top w:val="single" w:color="auto" w:sz="4" w:space="0"/>
              <w:left w:val="single" w:color="auto" w:sz="4" w:space="0"/>
              <w:right w:val="single" w:color="auto" w:sz="4" w:space="0"/>
            </w:tcBorders>
            <w:noWrap/>
            <w:vAlign w:val="center"/>
          </w:tcPr>
          <w:p>
            <w:pPr>
              <w:widowControl/>
              <w:rPr>
                <w:rFonts w:ascii="宋体" w:hAnsi="宋体" w:cs="宋体"/>
                <w:kern w:val="0"/>
                <w:sz w:val="24"/>
              </w:rPr>
            </w:pPr>
            <w:r>
              <w:rPr>
                <w:rFonts w:hint="eastAsia" w:ascii="宋体" w:hAnsi="宋体" w:cs="宋体"/>
                <w:kern w:val="0"/>
                <w:sz w:val="24"/>
              </w:rPr>
              <w:t>3年内执行收费标准 2分</w:t>
            </w:r>
          </w:p>
        </w:tc>
        <w:tc>
          <w:tcPr>
            <w:tcW w:w="1313" w:type="dxa"/>
            <w:vMerge w:val="continue"/>
            <w:tcBorders>
              <w:left w:val="single" w:color="auto" w:sz="4" w:space="0"/>
              <w:bottom w:val="single" w:color="auto" w:sz="4" w:space="0"/>
              <w:right w:val="single" w:color="auto" w:sz="4" w:space="0"/>
            </w:tcBorders>
            <w:vAlign w:val="center"/>
          </w:tcPr>
          <w:p>
            <w:pPr>
              <w:widowControl/>
              <w:rPr>
                <w:rFonts w:ascii="宋体" w:hAnsi="宋体" w:cs="宋体"/>
                <w:kern w:val="0"/>
                <w:sz w:val="24"/>
              </w:rPr>
            </w:pPr>
          </w:p>
        </w:tc>
        <w:tc>
          <w:tcPr>
            <w:tcW w:w="768" w:type="dxa"/>
            <w:vMerge w:val="continue"/>
            <w:tcBorders>
              <w:left w:val="single" w:color="auto" w:sz="4" w:space="0"/>
              <w:bottom w:val="single" w:color="auto" w:sz="4" w:space="0"/>
              <w:right w:val="single" w:color="auto" w:sz="8" w:space="0"/>
            </w:tcBorders>
            <w:vAlign w:val="center"/>
          </w:tcPr>
          <w:p>
            <w:pPr>
              <w:widowControl/>
              <w:jc w:val="center"/>
              <w:rPr>
                <w:rFonts w:ascii="宋体" w:hAnsi="宋体" w:cs="宋体"/>
                <w:kern w:val="0"/>
                <w:sz w:val="24"/>
              </w:rPr>
            </w:pPr>
          </w:p>
        </w:tc>
      </w:tr>
      <w:tr>
        <w:tblPrEx>
          <w:tblCellMar>
            <w:top w:w="0" w:type="dxa"/>
            <w:left w:w="108" w:type="dxa"/>
            <w:bottom w:w="0" w:type="dxa"/>
            <w:right w:w="108" w:type="dxa"/>
          </w:tblCellMar>
        </w:tblPrEx>
        <w:trPr>
          <w:trHeight w:val="496" w:hRule="atLeast"/>
        </w:trPr>
        <w:tc>
          <w:tcPr>
            <w:tcW w:w="1095" w:type="dxa"/>
            <w:vMerge w:val="continue"/>
            <w:tcBorders>
              <w:left w:val="single" w:color="auto" w:sz="8" w:space="0"/>
              <w:right w:val="single" w:color="auto" w:sz="4" w:space="0"/>
            </w:tcBorders>
            <w:vAlign w:val="center"/>
          </w:tcPr>
          <w:p>
            <w:pPr>
              <w:widowControl/>
              <w:jc w:val="left"/>
              <w:rPr>
                <w:rFonts w:ascii="宋体" w:hAnsi="宋体" w:cs="宋体"/>
                <w:kern w:val="0"/>
                <w:sz w:val="24"/>
              </w:rPr>
            </w:pPr>
          </w:p>
        </w:tc>
        <w:tc>
          <w:tcPr>
            <w:tcW w:w="1724"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 xml:space="preserve"> 档案存放 </w:t>
            </w:r>
          </w:p>
        </w:tc>
        <w:tc>
          <w:tcPr>
            <w:tcW w:w="881"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1</w:t>
            </w:r>
          </w:p>
        </w:tc>
        <w:tc>
          <w:tcPr>
            <w:tcW w:w="352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档案存放完善 1分</w:t>
            </w:r>
          </w:p>
        </w:tc>
        <w:tc>
          <w:tcPr>
            <w:tcW w:w="1313" w:type="dxa"/>
            <w:vMerge w:val="restart"/>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kern w:val="0"/>
                <w:sz w:val="24"/>
              </w:rPr>
            </w:pPr>
            <w:r>
              <w:rPr>
                <w:rFonts w:hint="eastAsia" w:ascii="宋体" w:hAnsi="宋体" w:cs="宋体"/>
                <w:kern w:val="0"/>
                <w:sz w:val="24"/>
              </w:rPr>
              <w:t>现场照片</w:t>
            </w:r>
          </w:p>
        </w:tc>
        <w:tc>
          <w:tcPr>
            <w:tcW w:w="768" w:type="dxa"/>
            <w:vMerge w:val="restart"/>
            <w:tcBorders>
              <w:top w:val="nil"/>
              <w:left w:val="nil"/>
              <w:right w:val="single" w:color="auto" w:sz="8" w:space="0"/>
            </w:tcBorders>
            <w:noWrap/>
            <w:vAlign w:val="center"/>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422" w:hRule="atLeast"/>
        </w:trPr>
        <w:tc>
          <w:tcPr>
            <w:tcW w:w="1095" w:type="dxa"/>
            <w:vMerge w:val="continue"/>
            <w:tcBorders>
              <w:left w:val="single" w:color="auto" w:sz="8" w:space="0"/>
              <w:bottom w:val="single" w:color="000000" w:sz="4" w:space="0"/>
              <w:right w:val="single" w:color="auto" w:sz="4" w:space="0"/>
            </w:tcBorders>
            <w:vAlign w:val="center"/>
          </w:tcPr>
          <w:p>
            <w:pPr>
              <w:jc w:val="center"/>
              <w:rPr>
                <w:rFonts w:ascii="宋体" w:hAnsi="宋体" w:cs="宋体"/>
                <w:kern w:val="0"/>
                <w:sz w:val="24"/>
              </w:rPr>
            </w:pPr>
          </w:p>
        </w:tc>
        <w:tc>
          <w:tcPr>
            <w:tcW w:w="1724"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机构纳税</w:t>
            </w:r>
          </w:p>
        </w:tc>
        <w:tc>
          <w:tcPr>
            <w:tcW w:w="881"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2</w:t>
            </w:r>
          </w:p>
        </w:tc>
        <w:tc>
          <w:tcPr>
            <w:tcW w:w="3523" w:type="dxa"/>
            <w:tcBorders>
              <w:top w:val="single" w:color="auto" w:sz="4" w:space="0"/>
              <w:left w:val="single" w:color="auto" w:sz="4" w:space="0"/>
              <w:bottom w:val="single" w:color="auto" w:sz="4" w:space="0"/>
              <w:right w:val="single" w:color="auto" w:sz="4" w:space="0"/>
            </w:tcBorders>
            <w:noWrap/>
            <w:vAlign w:val="center"/>
          </w:tcPr>
          <w:p>
            <w:pPr>
              <w:widowControl/>
              <w:rPr>
                <w:rFonts w:ascii="宋体" w:hAnsi="宋体" w:cs="宋体"/>
                <w:kern w:val="0"/>
                <w:sz w:val="24"/>
              </w:rPr>
            </w:pPr>
            <w:r>
              <w:rPr>
                <w:rFonts w:hint="eastAsia" w:ascii="宋体" w:hAnsi="宋体" w:cs="宋体"/>
                <w:kern w:val="0"/>
                <w:sz w:val="24"/>
              </w:rPr>
              <w:t>税务局信用等级A级  2分</w:t>
            </w:r>
          </w:p>
        </w:tc>
        <w:tc>
          <w:tcPr>
            <w:tcW w:w="1313" w:type="dxa"/>
            <w:vMerge w:val="restart"/>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kern w:val="0"/>
                <w:sz w:val="24"/>
              </w:rPr>
            </w:pPr>
            <w:r>
              <w:rPr>
                <w:rFonts w:hint="eastAsia" w:ascii="宋体" w:hAnsi="宋体" w:cs="宋体"/>
                <w:kern w:val="0"/>
                <w:sz w:val="24"/>
              </w:rPr>
              <w:t>税务系统截屏</w:t>
            </w:r>
          </w:p>
        </w:tc>
        <w:tc>
          <w:tcPr>
            <w:tcW w:w="768" w:type="dxa"/>
            <w:vMerge w:val="restart"/>
            <w:tcBorders>
              <w:top w:val="single" w:color="auto" w:sz="4" w:space="0"/>
              <w:left w:val="nil"/>
              <w:right w:val="single" w:color="auto" w:sz="8" w:space="0"/>
            </w:tcBorders>
            <w:noWrap/>
            <w:vAlign w:val="center"/>
          </w:tcPr>
          <w:p>
            <w:pPr>
              <w:widowControl/>
              <w:jc w:val="center"/>
              <w:rPr>
                <w:rFonts w:ascii="宋体" w:hAnsi="宋体" w:cs="宋体"/>
                <w:kern w:val="0"/>
                <w:sz w:val="24"/>
              </w:rPr>
            </w:pPr>
          </w:p>
        </w:tc>
      </w:tr>
      <w:tr>
        <w:tblPrEx>
          <w:tblCellMar>
            <w:top w:w="0" w:type="dxa"/>
            <w:left w:w="108" w:type="dxa"/>
            <w:bottom w:w="0" w:type="dxa"/>
            <w:right w:w="108" w:type="dxa"/>
          </w:tblCellMar>
        </w:tblPrEx>
        <w:trPr>
          <w:trHeight w:val="436" w:hRule="atLeast"/>
        </w:trPr>
        <w:tc>
          <w:tcPr>
            <w:tcW w:w="1095" w:type="dxa"/>
            <w:vMerge w:val="continue"/>
            <w:tcBorders>
              <w:left w:val="single" w:color="auto" w:sz="8" w:space="0"/>
              <w:bottom w:val="single" w:color="000000" w:sz="4" w:space="0"/>
              <w:right w:val="single" w:color="auto" w:sz="4" w:space="0"/>
            </w:tcBorders>
            <w:vAlign w:val="center"/>
          </w:tcPr>
          <w:p>
            <w:pPr>
              <w:widowControl/>
              <w:jc w:val="center"/>
            </w:pPr>
          </w:p>
        </w:tc>
        <w:tc>
          <w:tcPr>
            <w:tcW w:w="1724"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center"/>
            </w:pPr>
          </w:p>
        </w:tc>
        <w:tc>
          <w:tcPr>
            <w:tcW w:w="881"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center"/>
            </w:pPr>
          </w:p>
        </w:tc>
        <w:tc>
          <w:tcPr>
            <w:tcW w:w="3523" w:type="dxa"/>
            <w:tcBorders>
              <w:top w:val="single" w:color="auto" w:sz="4" w:space="0"/>
              <w:left w:val="single" w:color="auto" w:sz="4" w:space="0"/>
              <w:bottom w:val="single" w:color="auto" w:sz="4" w:space="0"/>
              <w:right w:val="single" w:color="auto" w:sz="4" w:space="0"/>
            </w:tcBorders>
            <w:noWrap/>
            <w:vAlign w:val="center"/>
          </w:tcPr>
          <w:p>
            <w:pPr>
              <w:widowControl/>
              <w:rPr>
                <w:rFonts w:ascii="宋体" w:hAnsi="宋体" w:cs="宋体"/>
                <w:kern w:val="0"/>
                <w:sz w:val="24"/>
              </w:rPr>
            </w:pPr>
            <w:r>
              <w:rPr>
                <w:rFonts w:hint="eastAsia" w:ascii="宋体" w:hAnsi="宋体" w:cs="宋体"/>
                <w:kern w:val="0"/>
                <w:sz w:val="24"/>
              </w:rPr>
              <w:t>税务局信用等级B级  1分</w:t>
            </w:r>
          </w:p>
        </w:tc>
        <w:tc>
          <w:tcPr>
            <w:tcW w:w="1313"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kern w:val="0"/>
                <w:sz w:val="24"/>
              </w:rPr>
            </w:pPr>
          </w:p>
        </w:tc>
        <w:tc>
          <w:tcPr>
            <w:tcW w:w="768" w:type="dxa"/>
            <w:vMerge w:val="continue"/>
            <w:tcBorders>
              <w:left w:val="nil"/>
              <w:bottom w:val="single" w:color="auto" w:sz="4" w:space="0"/>
              <w:right w:val="single" w:color="auto" w:sz="8" w:space="0"/>
            </w:tcBorders>
            <w:noWrap/>
            <w:vAlign w:val="center"/>
          </w:tcPr>
          <w:p>
            <w:pPr>
              <w:widowControl/>
              <w:jc w:val="center"/>
              <w:rPr>
                <w:rFonts w:ascii="宋体" w:hAnsi="宋体" w:cs="宋体"/>
                <w:kern w:val="0"/>
                <w:sz w:val="24"/>
              </w:rPr>
            </w:pPr>
          </w:p>
        </w:tc>
      </w:tr>
      <w:tr>
        <w:tblPrEx>
          <w:tblCellMar>
            <w:top w:w="0" w:type="dxa"/>
            <w:left w:w="108" w:type="dxa"/>
            <w:bottom w:w="0" w:type="dxa"/>
            <w:right w:w="108" w:type="dxa"/>
          </w:tblCellMar>
        </w:tblPrEx>
        <w:trPr>
          <w:trHeight w:val="755" w:hRule="atLeast"/>
        </w:trPr>
        <w:tc>
          <w:tcPr>
            <w:tcW w:w="1095" w:type="dxa"/>
            <w:vMerge w:val="restart"/>
            <w:tcBorders>
              <w:top w:val="nil"/>
              <w:left w:val="single" w:color="auto" w:sz="8"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行业</w:t>
            </w:r>
          </w:p>
          <w:p>
            <w:pPr>
              <w:widowControl/>
              <w:jc w:val="center"/>
              <w:rPr>
                <w:rFonts w:ascii="宋体" w:hAnsi="宋体" w:cs="宋体"/>
                <w:kern w:val="0"/>
                <w:sz w:val="24"/>
              </w:rPr>
            </w:pPr>
            <w:r>
              <w:rPr>
                <w:rFonts w:hint="eastAsia" w:ascii="宋体" w:hAnsi="宋体" w:cs="宋体"/>
                <w:kern w:val="0"/>
                <w:sz w:val="24"/>
              </w:rPr>
              <w:t>贡献</w:t>
            </w:r>
          </w:p>
          <w:p>
            <w:pPr>
              <w:widowControl/>
              <w:jc w:val="center"/>
              <w:rPr>
                <w:rFonts w:ascii="宋体" w:hAnsi="宋体" w:cs="宋体"/>
                <w:kern w:val="0"/>
                <w:sz w:val="24"/>
              </w:rPr>
            </w:pPr>
            <w:r>
              <w:rPr>
                <w:rFonts w:hint="eastAsia" w:ascii="宋体" w:hAnsi="宋体" w:cs="宋体"/>
                <w:kern w:val="0"/>
                <w:sz w:val="24"/>
              </w:rPr>
              <w:t>（11分）</w:t>
            </w:r>
          </w:p>
        </w:tc>
        <w:tc>
          <w:tcPr>
            <w:tcW w:w="1724" w:type="dxa"/>
            <w:tcBorders>
              <w:top w:val="single" w:color="auto" w:sz="4" w:space="0"/>
              <w:left w:val="single" w:color="auto" w:sz="4" w:space="0"/>
              <w:right w:val="single" w:color="auto" w:sz="4" w:space="0"/>
            </w:tcBorders>
            <w:noWrap/>
            <w:vAlign w:val="center"/>
          </w:tcPr>
          <w:p>
            <w:pPr>
              <w:jc w:val="center"/>
              <w:rPr>
                <w:rFonts w:ascii="宋体" w:hAnsi="宋体" w:cs="宋体"/>
                <w:kern w:val="0"/>
                <w:sz w:val="24"/>
              </w:rPr>
            </w:pPr>
            <w:r>
              <w:rPr>
                <w:rFonts w:hint="eastAsia" w:ascii="宋体" w:hAnsi="宋体" w:cs="宋体"/>
                <w:kern w:val="0"/>
                <w:sz w:val="24"/>
              </w:rPr>
              <w:t xml:space="preserve">业内专家  </w:t>
            </w:r>
          </w:p>
        </w:tc>
        <w:tc>
          <w:tcPr>
            <w:tcW w:w="881" w:type="dxa"/>
            <w:tcBorders>
              <w:top w:val="single" w:color="auto" w:sz="4" w:space="0"/>
              <w:left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2</w:t>
            </w:r>
          </w:p>
        </w:tc>
        <w:tc>
          <w:tcPr>
            <w:tcW w:w="3523" w:type="dxa"/>
            <w:tcBorders>
              <w:top w:val="single" w:color="auto" w:sz="4" w:space="0"/>
              <w:left w:val="single" w:color="auto" w:sz="4" w:space="0"/>
              <w:right w:val="single" w:color="auto" w:sz="4" w:space="0"/>
            </w:tcBorders>
            <w:noWrap/>
            <w:vAlign w:val="center"/>
          </w:tcPr>
          <w:p>
            <w:pPr>
              <w:widowControl/>
              <w:rPr>
                <w:rFonts w:ascii="宋体" w:hAnsi="宋体" w:cs="宋体"/>
                <w:kern w:val="0"/>
                <w:sz w:val="24"/>
              </w:rPr>
            </w:pPr>
            <w:r>
              <w:rPr>
                <w:rFonts w:hint="eastAsia" w:ascii="宋体" w:hAnsi="宋体" w:cs="宋体"/>
                <w:kern w:val="0"/>
                <w:sz w:val="24"/>
              </w:rPr>
              <w:t>自然资源部、省自然资源厅、中估协、省协会专家  每人1分，最多2分</w:t>
            </w:r>
          </w:p>
        </w:tc>
        <w:tc>
          <w:tcPr>
            <w:tcW w:w="1313"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kern w:val="0"/>
                <w:sz w:val="24"/>
              </w:rPr>
            </w:pPr>
            <w:r>
              <w:rPr>
                <w:rFonts w:hint="eastAsia" w:ascii="宋体" w:hAnsi="宋体" w:cs="宋体"/>
                <w:kern w:val="0"/>
                <w:sz w:val="24"/>
              </w:rPr>
              <w:t>聘书或文件</w:t>
            </w:r>
          </w:p>
        </w:tc>
        <w:tc>
          <w:tcPr>
            <w:tcW w:w="768" w:type="dxa"/>
            <w:tcBorders>
              <w:top w:val="nil"/>
              <w:left w:val="single" w:color="auto" w:sz="4" w:space="0"/>
              <w:right w:val="single" w:color="auto" w:sz="8" w:space="0"/>
            </w:tcBorders>
            <w:noWrap/>
            <w:vAlign w:val="center"/>
          </w:tcPr>
          <w:p>
            <w:pPr>
              <w:widowControl/>
              <w:jc w:val="center"/>
              <w:rPr>
                <w:rFonts w:ascii="宋体" w:hAnsi="宋体" w:cs="宋体"/>
                <w:kern w:val="0"/>
                <w:sz w:val="24"/>
              </w:rPr>
            </w:pPr>
            <w:r>
              <w:rPr>
                <w:rFonts w:hint="eastAsia" w:ascii="宋体" w:hAnsi="宋体" w:cs="宋体"/>
                <w:kern w:val="0"/>
                <w:sz w:val="24"/>
              </w:rPr>
              <w:t>　</w:t>
            </w:r>
          </w:p>
          <w:p>
            <w:pPr>
              <w:jc w:val="center"/>
              <w:rPr>
                <w:rFonts w:ascii="宋体" w:hAnsi="宋体" w:cs="宋体"/>
                <w:kern w:val="0"/>
                <w:sz w:val="24"/>
              </w:rPr>
            </w:pPr>
            <w:r>
              <w:rPr>
                <w:rFonts w:hint="eastAsia" w:ascii="宋体" w:hAnsi="宋体" w:cs="宋体"/>
                <w:kern w:val="0"/>
                <w:sz w:val="24"/>
              </w:rPr>
              <w:t>　</w:t>
            </w:r>
          </w:p>
          <w:p>
            <w:pPr>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460" w:hRule="atLeast"/>
        </w:trPr>
        <w:tc>
          <w:tcPr>
            <w:tcW w:w="1095" w:type="dxa"/>
            <w:vMerge w:val="continue"/>
            <w:tcBorders>
              <w:left w:val="single" w:color="auto" w:sz="8" w:space="0"/>
              <w:right w:val="single" w:color="auto" w:sz="4" w:space="0"/>
            </w:tcBorders>
            <w:vAlign w:val="center"/>
          </w:tcPr>
          <w:p>
            <w:pPr>
              <w:widowControl/>
              <w:jc w:val="center"/>
              <w:rPr>
                <w:rFonts w:ascii="宋体" w:hAnsi="宋体" w:cs="宋体"/>
                <w:kern w:val="0"/>
                <w:sz w:val="24"/>
              </w:rPr>
            </w:pPr>
          </w:p>
        </w:tc>
        <w:tc>
          <w:tcPr>
            <w:tcW w:w="172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kern w:val="0"/>
                <w:sz w:val="24"/>
              </w:rPr>
            </w:pPr>
            <w:r>
              <w:rPr>
                <w:rFonts w:hint="eastAsia" w:ascii="宋体" w:hAnsi="宋体" w:cs="宋体"/>
                <w:kern w:val="0"/>
                <w:sz w:val="24"/>
              </w:rPr>
              <w:t>参与行业活动</w:t>
            </w:r>
          </w:p>
        </w:tc>
        <w:tc>
          <w:tcPr>
            <w:tcW w:w="881"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kern w:val="0"/>
                <w:sz w:val="24"/>
              </w:rPr>
            </w:pPr>
            <w:r>
              <w:rPr>
                <w:rFonts w:hint="eastAsia" w:ascii="宋体" w:hAnsi="宋体" w:cs="宋体"/>
                <w:kern w:val="0"/>
                <w:sz w:val="24"/>
              </w:rPr>
              <w:t>3</w:t>
            </w:r>
          </w:p>
        </w:tc>
        <w:tc>
          <w:tcPr>
            <w:tcW w:w="3523"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kern w:val="0"/>
                <w:sz w:val="24"/>
              </w:rPr>
            </w:pPr>
            <w:r>
              <w:rPr>
                <w:rFonts w:hint="eastAsia" w:ascii="宋体" w:hAnsi="宋体" w:cs="宋体"/>
                <w:kern w:val="0"/>
                <w:sz w:val="24"/>
              </w:rPr>
              <w:t xml:space="preserve">参加自然资源部、省自然资源厅、中估价或省协会 活动（党建、座谈会、报告审查、论证会、技术研讨会等）     </w:t>
            </w:r>
          </w:p>
          <w:p>
            <w:pPr>
              <w:rPr>
                <w:rFonts w:ascii="宋体" w:hAnsi="宋体" w:cs="宋体"/>
                <w:kern w:val="0"/>
                <w:sz w:val="15"/>
                <w:szCs w:val="15"/>
              </w:rPr>
            </w:pPr>
            <w:r>
              <w:rPr>
                <w:rFonts w:hint="eastAsia" w:ascii="宋体" w:hAnsi="宋体" w:cs="宋体"/>
                <w:kern w:val="0"/>
                <w:sz w:val="24"/>
              </w:rPr>
              <w:t xml:space="preserve"> 每人、次1分，最多3分</w:t>
            </w:r>
          </w:p>
        </w:tc>
        <w:tc>
          <w:tcPr>
            <w:tcW w:w="1313" w:type="dxa"/>
            <w:vMerge w:val="restart"/>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kern w:val="0"/>
                <w:sz w:val="24"/>
              </w:rPr>
            </w:pPr>
            <w:r>
              <w:rPr>
                <w:rFonts w:hint="eastAsia" w:ascii="宋体" w:hAnsi="宋体" w:cs="宋体"/>
                <w:kern w:val="0"/>
                <w:sz w:val="24"/>
              </w:rPr>
              <w:t>证明材料及协会记录</w:t>
            </w:r>
          </w:p>
        </w:tc>
        <w:tc>
          <w:tcPr>
            <w:tcW w:w="768" w:type="dxa"/>
            <w:tcBorders>
              <w:top w:val="single" w:color="auto" w:sz="4" w:space="0"/>
              <w:left w:val="single" w:color="auto" w:sz="4" w:space="0"/>
              <w:bottom w:val="single" w:color="auto" w:sz="4" w:space="0"/>
              <w:right w:val="single" w:color="auto" w:sz="8" w:space="0"/>
            </w:tcBorders>
            <w:noWrap/>
            <w:vAlign w:val="center"/>
          </w:tcPr>
          <w:p>
            <w:pPr>
              <w:jc w:val="center"/>
              <w:rPr>
                <w:rFonts w:ascii="宋体" w:hAnsi="宋体" w:cs="宋体"/>
                <w:kern w:val="0"/>
                <w:sz w:val="24"/>
              </w:rPr>
            </w:pPr>
          </w:p>
        </w:tc>
      </w:tr>
      <w:tr>
        <w:tblPrEx>
          <w:tblCellMar>
            <w:top w:w="0" w:type="dxa"/>
            <w:left w:w="108" w:type="dxa"/>
            <w:bottom w:w="0" w:type="dxa"/>
            <w:right w:w="108" w:type="dxa"/>
          </w:tblCellMar>
        </w:tblPrEx>
        <w:trPr>
          <w:trHeight w:val="672" w:hRule="atLeast"/>
        </w:trPr>
        <w:tc>
          <w:tcPr>
            <w:tcW w:w="1095" w:type="dxa"/>
            <w:vMerge w:val="continue"/>
            <w:tcBorders>
              <w:left w:val="single" w:color="auto" w:sz="8" w:space="0"/>
              <w:right w:val="single" w:color="auto" w:sz="4" w:space="0"/>
            </w:tcBorders>
            <w:vAlign w:val="center"/>
          </w:tcPr>
          <w:p>
            <w:pPr>
              <w:widowControl/>
              <w:jc w:val="left"/>
              <w:rPr>
                <w:rFonts w:ascii="宋体" w:hAnsi="宋体" w:cs="宋体"/>
                <w:kern w:val="0"/>
                <w:sz w:val="24"/>
              </w:rPr>
            </w:pPr>
          </w:p>
        </w:tc>
        <w:tc>
          <w:tcPr>
            <w:tcW w:w="1724" w:type="dxa"/>
            <w:vMerge w:val="restart"/>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kern w:val="0"/>
                <w:sz w:val="24"/>
              </w:rPr>
            </w:pPr>
            <w:r>
              <w:rPr>
                <w:rFonts w:hint="eastAsia" w:ascii="宋体" w:hAnsi="宋体" w:cs="宋体"/>
                <w:kern w:val="0"/>
                <w:sz w:val="24"/>
              </w:rPr>
              <w:t xml:space="preserve"> </w:t>
            </w:r>
          </w:p>
          <w:p>
            <w:pPr>
              <w:jc w:val="center"/>
              <w:rPr>
                <w:rFonts w:ascii="宋体" w:hAnsi="宋体" w:cs="宋体"/>
                <w:kern w:val="0"/>
                <w:sz w:val="24"/>
              </w:rPr>
            </w:pPr>
            <w:r>
              <w:rPr>
                <w:rFonts w:hint="eastAsia" w:ascii="宋体" w:hAnsi="宋体" w:cs="宋体"/>
                <w:kern w:val="0"/>
                <w:sz w:val="24"/>
              </w:rPr>
              <w:t xml:space="preserve"> 继续教育</w:t>
            </w:r>
          </w:p>
          <w:p>
            <w:pPr>
              <w:jc w:val="center"/>
              <w:rPr>
                <w:rFonts w:ascii="宋体" w:hAnsi="宋体" w:cs="宋体"/>
                <w:kern w:val="0"/>
                <w:sz w:val="24"/>
              </w:rPr>
            </w:pPr>
            <w:r>
              <w:rPr>
                <w:rFonts w:hint="eastAsia" w:ascii="宋体" w:hAnsi="宋体" w:cs="宋体"/>
                <w:kern w:val="0"/>
                <w:sz w:val="24"/>
              </w:rPr>
              <w:t xml:space="preserve">及会费 </w:t>
            </w:r>
          </w:p>
          <w:p>
            <w:pPr>
              <w:jc w:val="center"/>
              <w:rPr>
                <w:rFonts w:ascii="宋体" w:hAnsi="宋体" w:cs="宋体"/>
                <w:kern w:val="0"/>
                <w:sz w:val="24"/>
              </w:rPr>
            </w:pPr>
            <w:r>
              <w:rPr>
                <w:rFonts w:hint="eastAsia" w:ascii="宋体" w:hAnsi="宋体" w:cs="宋体"/>
                <w:kern w:val="0"/>
                <w:sz w:val="24"/>
              </w:rPr>
              <w:t xml:space="preserve"> </w:t>
            </w:r>
          </w:p>
        </w:tc>
        <w:tc>
          <w:tcPr>
            <w:tcW w:w="881"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4</w:t>
            </w:r>
          </w:p>
        </w:tc>
        <w:tc>
          <w:tcPr>
            <w:tcW w:w="3523" w:type="dxa"/>
            <w:tcBorders>
              <w:top w:val="single" w:color="auto" w:sz="4" w:space="0"/>
              <w:left w:val="single" w:color="auto" w:sz="4" w:space="0"/>
              <w:bottom w:val="single" w:color="auto" w:sz="4" w:space="0"/>
              <w:right w:val="single" w:color="auto" w:sz="4" w:space="0"/>
            </w:tcBorders>
            <w:noWrap/>
            <w:vAlign w:val="center"/>
          </w:tcPr>
          <w:p>
            <w:pPr>
              <w:widowControl/>
              <w:rPr>
                <w:rFonts w:ascii="宋体" w:hAnsi="宋体" w:cs="宋体"/>
                <w:kern w:val="0"/>
                <w:sz w:val="24"/>
              </w:rPr>
            </w:pPr>
            <w:r>
              <w:rPr>
                <w:rFonts w:hint="eastAsia" w:ascii="宋体" w:hAnsi="宋体" w:cs="宋体"/>
                <w:kern w:val="0"/>
                <w:sz w:val="24"/>
              </w:rPr>
              <w:t>估价师按时参加继续教育人数达到2/3及以上 得2分，达到1/2及以上得1分</w:t>
            </w:r>
          </w:p>
        </w:tc>
        <w:tc>
          <w:tcPr>
            <w:tcW w:w="1313"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sz w:val="24"/>
              </w:rPr>
            </w:pPr>
          </w:p>
        </w:tc>
        <w:tc>
          <w:tcPr>
            <w:tcW w:w="768" w:type="dxa"/>
            <w:tcBorders>
              <w:top w:val="single" w:color="auto" w:sz="4" w:space="0"/>
              <w:left w:val="single" w:color="auto" w:sz="4" w:space="0"/>
              <w:bottom w:val="single" w:color="auto" w:sz="4" w:space="0"/>
              <w:right w:val="single" w:color="auto" w:sz="8" w:space="0"/>
            </w:tcBorders>
            <w:vAlign w:val="center"/>
          </w:tcPr>
          <w:p>
            <w:pPr>
              <w:jc w:val="center"/>
              <w:rPr>
                <w:rFonts w:ascii="宋体" w:hAnsi="宋体" w:cs="宋体"/>
                <w:kern w:val="0"/>
                <w:sz w:val="24"/>
              </w:rPr>
            </w:pPr>
          </w:p>
        </w:tc>
      </w:tr>
      <w:tr>
        <w:tblPrEx>
          <w:tblCellMar>
            <w:top w:w="0" w:type="dxa"/>
            <w:left w:w="108" w:type="dxa"/>
            <w:bottom w:w="0" w:type="dxa"/>
            <w:right w:w="108" w:type="dxa"/>
          </w:tblCellMar>
        </w:tblPrEx>
        <w:trPr>
          <w:trHeight w:val="480" w:hRule="atLeast"/>
        </w:trPr>
        <w:tc>
          <w:tcPr>
            <w:tcW w:w="1095" w:type="dxa"/>
            <w:vMerge w:val="continue"/>
            <w:tcBorders>
              <w:left w:val="single" w:color="auto" w:sz="8" w:space="0"/>
              <w:right w:val="single" w:color="auto" w:sz="4" w:space="0"/>
            </w:tcBorders>
            <w:vAlign w:val="center"/>
          </w:tcPr>
          <w:p>
            <w:pPr>
              <w:widowControl/>
              <w:jc w:val="left"/>
              <w:rPr>
                <w:rFonts w:ascii="宋体" w:hAnsi="宋体" w:cs="宋体"/>
                <w:kern w:val="0"/>
                <w:sz w:val="24"/>
              </w:rPr>
            </w:pPr>
          </w:p>
        </w:tc>
        <w:tc>
          <w:tcPr>
            <w:tcW w:w="1724"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kern w:val="0"/>
                <w:sz w:val="24"/>
              </w:rPr>
            </w:pPr>
          </w:p>
        </w:tc>
        <w:tc>
          <w:tcPr>
            <w:tcW w:w="881"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kern w:val="0"/>
                <w:sz w:val="24"/>
              </w:rPr>
            </w:pPr>
          </w:p>
        </w:tc>
        <w:tc>
          <w:tcPr>
            <w:tcW w:w="3523" w:type="dxa"/>
            <w:tcBorders>
              <w:top w:val="single" w:color="auto" w:sz="4" w:space="0"/>
              <w:left w:val="single" w:color="auto" w:sz="4" w:space="0"/>
              <w:bottom w:val="single" w:color="auto" w:sz="4" w:space="0"/>
              <w:right w:val="single" w:color="auto" w:sz="4" w:space="0"/>
            </w:tcBorders>
            <w:noWrap/>
            <w:vAlign w:val="center"/>
          </w:tcPr>
          <w:p>
            <w:pPr>
              <w:widowControl/>
              <w:rPr>
                <w:rFonts w:ascii="宋体" w:hAnsi="宋体" w:cs="宋体"/>
                <w:kern w:val="0"/>
                <w:sz w:val="24"/>
              </w:rPr>
            </w:pPr>
            <w:r>
              <w:rPr>
                <w:rFonts w:hint="eastAsia" w:ascii="宋体" w:hAnsi="宋体" w:cs="宋体"/>
                <w:kern w:val="0"/>
                <w:sz w:val="24"/>
              </w:rPr>
              <w:t>按时足额缴纳会费 得2分</w:t>
            </w:r>
          </w:p>
        </w:tc>
        <w:tc>
          <w:tcPr>
            <w:tcW w:w="1313"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sz w:val="24"/>
              </w:rPr>
            </w:pPr>
          </w:p>
        </w:tc>
        <w:tc>
          <w:tcPr>
            <w:tcW w:w="768" w:type="dxa"/>
            <w:tcBorders>
              <w:top w:val="single" w:color="auto" w:sz="4" w:space="0"/>
              <w:left w:val="single" w:color="auto" w:sz="4" w:space="0"/>
              <w:bottom w:val="single" w:color="auto" w:sz="4" w:space="0"/>
              <w:right w:val="single" w:color="auto" w:sz="8" w:space="0"/>
            </w:tcBorders>
            <w:vAlign w:val="center"/>
          </w:tcPr>
          <w:p>
            <w:pPr>
              <w:jc w:val="center"/>
              <w:rPr>
                <w:rFonts w:ascii="宋体" w:hAnsi="宋体" w:cs="宋体"/>
                <w:kern w:val="0"/>
                <w:sz w:val="24"/>
              </w:rPr>
            </w:pPr>
          </w:p>
        </w:tc>
      </w:tr>
      <w:tr>
        <w:tblPrEx>
          <w:tblCellMar>
            <w:top w:w="0" w:type="dxa"/>
            <w:left w:w="108" w:type="dxa"/>
            <w:bottom w:w="0" w:type="dxa"/>
            <w:right w:w="108" w:type="dxa"/>
          </w:tblCellMar>
        </w:tblPrEx>
        <w:trPr>
          <w:trHeight w:val="998" w:hRule="atLeast"/>
        </w:trPr>
        <w:tc>
          <w:tcPr>
            <w:tcW w:w="1095" w:type="dxa"/>
            <w:vMerge w:val="continue"/>
            <w:tcBorders>
              <w:left w:val="single" w:color="auto" w:sz="8" w:space="0"/>
              <w:right w:val="single" w:color="auto" w:sz="4" w:space="0"/>
            </w:tcBorders>
            <w:vAlign w:val="center"/>
          </w:tcPr>
          <w:p>
            <w:pPr>
              <w:jc w:val="center"/>
              <w:rPr>
                <w:rFonts w:ascii="宋体" w:hAnsi="宋体" w:cs="宋体"/>
                <w:kern w:val="0"/>
                <w:sz w:val="24"/>
              </w:rPr>
            </w:pPr>
          </w:p>
        </w:tc>
        <w:tc>
          <w:tcPr>
            <w:tcW w:w="172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kern w:val="0"/>
                <w:sz w:val="24"/>
              </w:rPr>
            </w:pPr>
            <w:r>
              <w:rPr>
                <w:rFonts w:hint="eastAsia" w:ascii="宋体" w:hAnsi="宋体" w:cs="宋体"/>
                <w:kern w:val="0"/>
                <w:sz w:val="24"/>
              </w:rPr>
              <w:t>学术论文</w:t>
            </w:r>
          </w:p>
        </w:tc>
        <w:tc>
          <w:tcPr>
            <w:tcW w:w="881"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kern w:val="0"/>
                <w:sz w:val="24"/>
              </w:rPr>
            </w:pPr>
            <w:r>
              <w:rPr>
                <w:rFonts w:hint="eastAsia" w:ascii="宋体" w:hAnsi="宋体" w:cs="宋体"/>
                <w:kern w:val="0"/>
                <w:sz w:val="24"/>
              </w:rPr>
              <w:t>2</w:t>
            </w:r>
          </w:p>
        </w:tc>
        <w:tc>
          <w:tcPr>
            <w:tcW w:w="3523"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kern w:val="0"/>
                <w:sz w:val="24"/>
              </w:rPr>
            </w:pPr>
            <w:r>
              <w:rPr>
                <w:rFonts w:hint="eastAsia" w:ascii="宋体" w:hAnsi="宋体" w:cs="宋体"/>
                <w:kern w:val="0"/>
                <w:sz w:val="24"/>
              </w:rPr>
              <w:t>近两年在中估价、省协会得奖的论文或在正式报刊杂志发表的论文   2分</w:t>
            </w:r>
          </w:p>
        </w:tc>
        <w:tc>
          <w:tcPr>
            <w:tcW w:w="131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sz w:val="24"/>
              </w:rPr>
            </w:pPr>
            <w:r>
              <w:rPr>
                <w:rFonts w:hint="eastAsia" w:ascii="宋体" w:hAnsi="宋体" w:cs="宋体"/>
                <w:kern w:val="0"/>
                <w:sz w:val="24"/>
              </w:rPr>
              <w:t>得奖证书或文件、报刊杂志原件</w:t>
            </w:r>
          </w:p>
        </w:tc>
        <w:tc>
          <w:tcPr>
            <w:tcW w:w="768" w:type="dxa"/>
            <w:tcBorders>
              <w:top w:val="single" w:color="auto" w:sz="4" w:space="0"/>
              <w:left w:val="single" w:color="auto" w:sz="4" w:space="0"/>
              <w:right w:val="single" w:color="auto" w:sz="8" w:space="0"/>
            </w:tcBorders>
            <w:vAlign w:val="center"/>
          </w:tcPr>
          <w:p>
            <w:pPr>
              <w:jc w:val="center"/>
              <w:rPr>
                <w:rFonts w:ascii="宋体" w:hAnsi="宋体" w:cs="宋体"/>
                <w:kern w:val="0"/>
                <w:sz w:val="24"/>
              </w:rPr>
            </w:pPr>
          </w:p>
        </w:tc>
      </w:tr>
      <w:tr>
        <w:tblPrEx>
          <w:tblCellMar>
            <w:top w:w="0" w:type="dxa"/>
            <w:left w:w="108" w:type="dxa"/>
            <w:bottom w:w="0" w:type="dxa"/>
            <w:right w:w="108" w:type="dxa"/>
          </w:tblCellMar>
        </w:tblPrEx>
        <w:trPr>
          <w:trHeight w:val="422" w:hRule="atLeast"/>
        </w:trPr>
        <w:tc>
          <w:tcPr>
            <w:tcW w:w="1095" w:type="dxa"/>
            <w:vMerge w:val="restart"/>
            <w:tcBorders>
              <w:top w:val="single" w:color="auto" w:sz="4" w:space="0"/>
              <w:left w:val="single" w:color="auto" w:sz="8" w:space="0"/>
              <w:bottom w:val="single" w:color="000000"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报告</w:t>
            </w:r>
          </w:p>
          <w:p>
            <w:pPr>
              <w:widowControl/>
              <w:jc w:val="center"/>
              <w:rPr>
                <w:rFonts w:ascii="宋体" w:hAnsi="宋体" w:cs="宋体"/>
                <w:kern w:val="0"/>
                <w:sz w:val="24"/>
              </w:rPr>
            </w:pPr>
            <w:r>
              <w:rPr>
                <w:rFonts w:hint="eastAsia" w:ascii="宋体" w:hAnsi="宋体" w:cs="宋体"/>
                <w:kern w:val="0"/>
                <w:sz w:val="24"/>
              </w:rPr>
              <w:t>质量</w:t>
            </w:r>
          </w:p>
          <w:p>
            <w:pPr>
              <w:widowControl/>
              <w:jc w:val="center"/>
              <w:rPr>
                <w:rFonts w:ascii="宋体" w:hAnsi="宋体" w:cs="宋体"/>
                <w:kern w:val="0"/>
                <w:sz w:val="24"/>
              </w:rPr>
            </w:pPr>
            <w:r>
              <w:rPr>
                <w:rFonts w:hint="eastAsia" w:ascii="宋体" w:hAnsi="宋体" w:cs="宋体"/>
                <w:kern w:val="0"/>
                <w:sz w:val="24"/>
              </w:rPr>
              <w:t>（35分）</w:t>
            </w:r>
          </w:p>
        </w:tc>
        <w:tc>
          <w:tcPr>
            <w:tcW w:w="1724"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评定年度报告          审查结果</w:t>
            </w:r>
          </w:p>
        </w:tc>
        <w:tc>
          <w:tcPr>
            <w:tcW w:w="881"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35</w:t>
            </w:r>
          </w:p>
        </w:tc>
        <w:tc>
          <w:tcPr>
            <w:tcW w:w="3523" w:type="dxa"/>
            <w:tcBorders>
              <w:top w:val="single" w:color="auto" w:sz="4" w:space="0"/>
              <w:left w:val="single" w:color="auto" w:sz="4" w:space="0"/>
              <w:bottom w:val="single" w:color="auto" w:sz="4" w:space="0"/>
              <w:right w:val="single" w:color="auto" w:sz="4" w:space="0"/>
            </w:tcBorders>
            <w:noWrap/>
            <w:vAlign w:val="center"/>
          </w:tcPr>
          <w:p>
            <w:pPr>
              <w:widowControl/>
              <w:rPr>
                <w:rFonts w:ascii="宋体" w:hAnsi="宋体" w:cs="宋体"/>
                <w:kern w:val="0"/>
                <w:sz w:val="24"/>
              </w:rPr>
            </w:pPr>
            <w:r>
              <w:rPr>
                <w:rFonts w:hint="eastAsia" w:ascii="宋体" w:hAnsi="宋体" w:cs="宋体"/>
                <w:kern w:val="0"/>
                <w:sz w:val="24"/>
              </w:rPr>
              <w:t>一等     35分</w:t>
            </w:r>
          </w:p>
        </w:tc>
        <w:tc>
          <w:tcPr>
            <w:tcW w:w="1313" w:type="dxa"/>
            <w:vMerge w:val="restart"/>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kern w:val="0"/>
                <w:sz w:val="24"/>
              </w:rPr>
            </w:pPr>
            <w:r>
              <w:rPr>
                <w:rFonts w:hint="eastAsia" w:ascii="宋体" w:hAnsi="宋体" w:cs="宋体"/>
                <w:kern w:val="0"/>
                <w:sz w:val="24"/>
              </w:rPr>
              <w:t>协会文件</w:t>
            </w:r>
          </w:p>
        </w:tc>
        <w:tc>
          <w:tcPr>
            <w:tcW w:w="768" w:type="dxa"/>
            <w:vMerge w:val="restart"/>
            <w:tcBorders>
              <w:top w:val="single" w:color="auto" w:sz="4" w:space="0"/>
              <w:left w:val="single" w:color="auto" w:sz="4" w:space="0"/>
              <w:bottom w:val="single" w:color="000000" w:sz="4" w:space="0"/>
              <w:right w:val="single" w:color="auto" w:sz="8" w:space="0"/>
            </w:tcBorders>
            <w:noWrap/>
            <w:vAlign w:val="center"/>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453" w:hRule="atLeast"/>
        </w:trPr>
        <w:tc>
          <w:tcPr>
            <w:tcW w:w="1095" w:type="dxa"/>
            <w:vMerge w:val="continue"/>
            <w:tcBorders>
              <w:top w:val="single" w:color="auto" w:sz="4" w:space="0"/>
              <w:left w:val="single" w:color="auto" w:sz="8" w:space="0"/>
              <w:bottom w:val="single" w:color="000000" w:sz="4" w:space="0"/>
              <w:right w:val="single" w:color="auto" w:sz="4" w:space="0"/>
            </w:tcBorders>
            <w:vAlign w:val="center"/>
          </w:tcPr>
          <w:p>
            <w:pPr>
              <w:widowControl/>
              <w:jc w:val="left"/>
              <w:rPr>
                <w:rFonts w:ascii="宋体" w:hAnsi="宋体" w:cs="宋体"/>
                <w:kern w:val="0"/>
                <w:sz w:val="24"/>
              </w:rPr>
            </w:pPr>
          </w:p>
        </w:tc>
        <w:tc>
          <w:tcPr>
            <w:tcW w:w="1724"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hAnsi="宋体" w:cs="宋体"/>
                <w:kern w:val="0"/>
                <w:sz w:val="24"/>
              </w:rPr>
            </w:pPr>
          </w:p>
        </w:tc>
        <w:tc>
          <w:tcPr>
            <w:tcW w:w="881" w:type="dxa"/>
            <w:vMerge w:val="continue"/>
            <w:tcBorders>
              <w:top w:val="single" w:color="auto" w:sz="4" w:space="0"/>
              <w:left w:val="single" w:color="auto" w:sz="4" w:space="0"/>
              <w:bottom w:val="single" w:color="000000" w:sz="4" w:space="0"/>
              <w:right w:val="single" w:color="auto" w:sz="4" w:space="0"/>
            </w:tcBorders>
            <w:vAlign w:val="center"/>
          </w:tcPr>
          <w:p>
            <w:pPr>
              <w:widowControl/>
              <w:jc w:val="center"/>
              <w:rPr>
                <w:rFonts w:ascii="宋体" w:hAnsi="宋体" w:cs="宋体"/>
                <w:kern w:val="0"/>
                <w:sz w:val="24"/>
              </w:rPr>
            </w:pPr>
          </w:p>
        </w:tc>
        <w:tc>
          <w:tcPr>
            <w:tcW w:w="3523" w:type="dxa"/>
            <w:tcBorders>
              <w:top w:val="single" w:color="auto" w:sz="4" w:space="0"/>
              <w:left w:val="nil"/>
              <w:bottom w:val="single" w:color="auto" w:sz="4" w:space="0"/>
              <w:right w:val="single" w:color="auto" w:sz="4" w:space="0"/>
            </w:tcBorders>
            <w:noWrap/>
            <w:vAlign w:val="center"/>
          </w:tcPr>
          <w:p>
            <w:pPr>
              <w:widowControl/>
              <w:rPr>
                <w:rFonts w:ascii="宋体" w:hAnsi="宋体" w:cs="宋体"/>
                <w:kern w:val="0"/>
                <w:sz w:val="24"/>
              </w:rPr>
            </w:pPr>
            <w:r>
              <w:rPr>
                <w:rFonts w:hint="eastAsia" w:ascii="宋体" w:hAnsi="宋体" w:cs="宋体"/>
                <w:kern w:val="0"/>
                <w:sz w:val="24"/>
              </w:rPr>
              <w:t>二等     28分</w:t>
            </w:r>
          </w:p>
        </w:tc>
        <w:tc>
          <w:tcPr>
            <w:tcW w:w="1313"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kern w:val="0"/>
                <w:sz w:val="24"/>
              </w:rPr>
            </w:pPr>
          </w:p>
        </w:tc>
        <w:tc>
          <w:tcPr>
            <w:tcW w:w="768" w:type="dxa"/>
            <w:vMerge w:val="continue"/>
            <w:tcBorders>
              <w:top w:val="single" w:color="auto" w:sz="4" w:space="0"/>
              <w:left w:val="single" w:color="auto" w:sz="4" w:space="0"/>
              <w:bottom w:val="single" w:color="000000" w:sz="4" w:space="0"/>
              <w:right w:val="single" w:color="auto" w:sz="8" w:space="0"/>
            </w:tcBorders>
            <w:vAlign w:val="center"/>
          </w:tcPr>
          <w:p>
            <w:pPr>
              <w:widowControl/>
              <w:jc w:val="left"/>
              <w:rPr>
                <w:rFonts w:ascii="宋体" w:hAnsi="宋体" w:cs="宋体"/>
                <w:kern w:val="0"/>
                <w:sz w:val="24"/>
              </w:rPr>
            </w:pPr>
          </w:p>
        </w:tc>
      </w:tr>
      <w:tr>
        <w:tblPrEx>
          <w:tblCellMar>
            <w:top w:w="0" w:type="dxa"/>
            <w:left w:w="108" w:type="dxa"/>
            <w:bottom w:w="0" w:type="dxa"/>
            <w:right w:w="108" w:type="dxa"/>
          </w:tblCellMar>
        </w:tblPrEx>
        <w:trPr>
          <w:trHeight w:val="437" w:hRule="atLeast"/>
        </w:trPr>
        <w:tc>
          <w:tcPr>
            <w:tcW w:w="1095" w:type="dxa"/>
            <w:vMerge w:val="continue"/>
            <w:tcBorders>
              <w:top w:val="single" w:color="auto" w:sz="4" w:space="0"/>
              <w:left w:val="single" w:color="auto" w:sz="8" w:space="0"/>
              <w:bottom w:val="single" w:color="000000" w:sz="4" w:space="0"/>
              <w:right w:val="single" w:color="auto" w:sz="4" w:space="0"/>
            </w:tcBorders>
            <w:vAlign w:val="center"/>
          </w:tcPr>
          <w:p>
            <w:pPr>
              <w:widowControl/>
              <w:jc w:val="left"/>
              <w:rPr>
                <w:rFonts w:ascii="宋体" w:hAnsi="宋体" w:cs="宋体"/>
                <w:kern w:val="0"/>
                <w:sz w:val="24"/>
              </w:rPr>
            </w:pPr>
          </w:p>
        </w:tc>
        <w:tc>
          <w:tcPr>
            <w:tcW w:w="1724"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hAnsi="宋体" w:cs="宋体"/>
                <w:kern w:val="0"/>
                <w:sz w:val="24"/>
              </w:rPr>
            </w:pPr>
          </w:p>
        </w:tc>
        <w:tc>
          <w:tcPr>
            <w:tcW w:w="881" w:type="dxa"/>
            <w:vMerge w:val="continue"/>
            <w:tcBorders>
              <w:top w:val="single" w:color="auto" w:sz="4" w:space="0"/>
              <w:left w:val="single" w:color="auto" w:sz="4" w:space="0"/>
              <w:bottom w:val="single" w:color="000000" w:sz="4" w:space="0"/>
              <w:right w:val="single" w:color="auto" w:sz="4" w:space="0"/>
            </w:tcBorders>
            <w:vAlign w:val="center"/>
          </w:tcPr>
          <w:p>
            <w:pPr>
              <w:widowControl/>
              <w:jc w:val="center"/>
              <w:rPr>
                <w:rFonts w:ascii="宋体" w:hAnsi="宋体" w:cs="宋体"/>
                <w:kern w:val="0"/>
                <w:sz w:val="24"/>
              </w:rPr>
            </w:pPr>
          </w:p>
        </w:tc>
        <w:tc>
          <w:tcPr>
            <w:tcW w:w="3523" w:type="dxa"/>
            <w:tcBorders>
              <w:top w:val="nil"/>
              <w:left w:val="nil"/>
              <w:bottom w:val="single" w:color="auto" w:sz="4" w:space="0"/>
              <w:right w:val="single" w:color="auto" w:sz="4" w:space="0"/>
            </w:tcBorders>
            <w:noWrap/>
            <w:vAlign w:val="center"/>
          </w:tcPr>
          <w:p>
            <w:pPr>
              <w:widowControl/>
              <w:rPr>
                <w:rFonts w:ascii="宋体" w:hAnsi="宋体" w:cs="宋体"/>
                <w:kern w:val="0"/>
                <w:sz w:val="24"/>
              </w:rPr>
            </w:pPr>
            <w:r>
              <w:rPr>
                <w:rFonts w:hint="eastAsia" w:ascii="宋体" w:hAnsi="宋体" w:cs="宋体"/>
                <w:kern w:val="0"/>
                <w:sz w:val="24"/>
              </w:rPr>
              <w:t>三等     21分</w:t>
            </w:r>
          </w:p>
        </w:tc>
        <w:tc>
          <w:tcPr>
            <w:tcW w:w="1313"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kern w:val="0"/>
                <w:sz w:val="24"/>
              </w:rPr>
            </w:pPr>
          </w:p>
        </w:tc>
        <w:tc>
          <w:tcPr>
            <w:tcW w:w="768" w:type="dxa"/>
            <w:vMerge w:val="continue"/>
            <w:tcBorders>
              <w:top w:val="single" w:color="auto" w:sz="4" w:space="0"/>
              <w:left w:val="single" w:color="auto" w:sz="4" w:space="0"/>
              <w:bottom w:val="single" w:color="000000" w:sz="4" w:space="0"/>
              <w:right w:val="single" w:color="auto" w:sz="8" w:space="0"/>
            </w:tcBorders>
            <w:vAlign w:val="center"/>
          </w:tcPr>
          <w:p>
            <w:pPr>
              <w:widowControl/>
              <w:jc w:val="left"/>
              <w:rPr>
                <w:rFonts w:ascii="宋体" w:hAnsi="宋体" w:cs="宋体"/>
                <w:kern w:val="0"/>
                <w:sz w:val="24"/>
              </w:rPr>
            </w:pPr>
          </w:p>
        </w:tc>
      </w:tr>
      <w:tr>
        <w:tblPrEx>
          <w:tblCellMar>
            <w:top w:w="0" w:type="dxa"/>
            <w:left w:w="108" w:type="dxa"/>
            <w:bottom w:w="0" w:type="dxa"/>
            <w:right w:w="108" w:type="dxa"/>
          </w:tblCellMar>
        </w:tblPrEx>
        <w:trPr>
          <w:trHeight w:val="455" w:hRule="atLeast"/>
        </w:trPr>
        <w:tc>
          <w:tcPr>
            <w:tcW w:w="1095" w:type="dxa"/>
            <w:vMerge w:val="continue"/>
            <w:tcBorders>
              <w:top w:val="single" w:color="auto" w:sz="4" w:space="0"/>
              <w:left w:val="single" w:color="auto" w:sz="8" w:space="0"/>
              <w:bottom w:val="single" w:color="000000" w:sz="4" w:space="0"/>
              <w:right w:val="single" w:color="auto" w:sz="4" w:space="0"/>
            </w:tcBorders>
            <w:vAlign w:val="center"/>
          </w:tcPr>
          <w:p>
            <w:pPr>
              <w:widowControl/>
              <w:jc w:val="left"/>
              <w:rPr>
                <w:rFonts w:ascii="宋体" w:hAnsi="宋体" w:cs="宋体"/>
                <w:kern w:val="0"/>
                <w:sz w:val="24"/>
              </w:rPr>
            </w:pPr>
          </w:p>
        </w:tc>
        <w:tc>
          <w:tcPr>
            <w:tcW w:w="1724"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hAnsi="宋体" w:cs="宋体"/>
                <w:kern w:val="0"/>
                <w:sz w:val="24"/>
              </w:rPr>
            </w:pPr>
          </w:p>
        </w:tc>
        <w:tc>
          <w:tcPr>
            <w:tcW w:w="881" w:type="dxa"/>
            <w:vMerge w:val="continue"/>
            <w:tcBorders>
              <w:top w:val="single" w:color="auto" w:sz="4" w:space="0"/>
              <w:left w:val="single" w:color="auto" w:sz="4" w:space="0"/>
              <w:bottom w:val="single" w:color="000000" w:sz="4" w:space="0"/>
              <w:right w:val="single" w:color="auto" w:sz="4" w:space="0"/>
            </w:tcBorders>
            <w:vAlign w:val="center"/>
          </w:tcPr>
          <w:p>
            <w:pPr>
              <w:widowControl/>
              <w:jc w:val="center"/>
              <w:rPr>
                <w:rFonts w:ascii="宋体" w:hAnsi="宋体" w:cs="宋体"/>
                <w:kern w:val="0"/>
                <w:sz w:val="24"/>
              </w:rPr>
            </w:pPr>
          </w:p>
        </w:tc>
        <w:tc>
          <w:tcPr>
            <w:tcW w:w="3523" w:type="dxa"/>
            <w:tcBorders>
              <w:top w:val="nil"/>
              <w:left w:val="nil"/>
              <w:bottom w:val="single" w:color="auto" w:sz="4" w:space="0"/>
              <w:right w:val="single" w:color="auto" w:sz="4" w:space="0"/>
            </w:tcBorders>
            <w:noWrap/>
            <w:vAlign w:val="center"/>
          </w:tcPr>
          <w:p>
            <w:pPr>
              <w:widowControl/>
              <w:rPr>
                <w:rFonts w:ascii="宋体" w:hAnsi="宋体" w:cs="宋体"/>
                <w:kern w:val="0"/>
                <w:sz w:val="24"/>
              </w:rPr>
            </w:pPr>
            <w:r>
              <w:rPr>
                <w:rFonts w:hint="eastAsia" w:ascii="宋体" w:hAnsi="宋体" w:cs="宋体"/>
                <w:kern w:val="0"/>
                <w:sz w:val="24"/>
              </w:rPr>
              <w:t>四等     10分</w:t>
            </w:r>
          </w:p>
        </w:tc>
        <w:tc>
          <w:tcPr>
            <w:tcW w:w="1313"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kern w:val="0"/>
                <w:sz w:val="24"/>
              </w:rPr>
            </w:pPr>
          </w:p>
        </w:tc>
        <w:tc>
          <w:tcPr>
            <w:tcW w:w="768" w:type="dxa"/>
            <w:vMerge w:val="continue"/>
            <w:tcBorders>
              <w:top w:val="single" w:color="auto" w:sz="4" w:space="0"/>
              <w:left w:val="single" w:color="auto" w:sz="4" w:space="0"/>
              <w:bottom w:val="single" w:color="000000" w:sz="4" w:space="0"/>
              <w:right w:val="single" w:color="auto" w:sz="8" w:space="0"/>
            </w:tcBorders>
            <w:vAlign w:val="center"/>
          </w:tcPr>
          <w:p>
            <w:pPr>
              <w:widowControl/>
              <w:jc w:val="left"/>
              <w:rPr>
                <w:rFonts w:ascii="宋体" w:hAnsi="宋体" w:cs="宋体"/>
                <w:kern w:val="0"/>
                <w:sz w:val="24"/>
              </w:rPr>
            </w:pPr>
          </w:p>
        </w:tc>
      </w:tr>
      <w:tr>
        <w:tblPrEx>
          <w:tblCellMar>
            <w:top w:w="0" w:type="dxa"/>
            <w:left w:w="108" w:type="dxa"/>
            <w:bottom w:w="0" w:type="dxa"/>
            <w:right w:w="108" w:type="dxa"/>
          </w:tblCellMar>
        </w:tblPrEx>
        <w:trPr>
          <w:trHeight w:val="641" w:hRule="atLeast"/>
        </w:trPr>
        <w:tc>
          <w:tcPr>
            <w:tcW w:w="1095" w:type="dxa"/>
            <w:tcBorders>
              <w:top w:val="nil"/>
              <w:left w:val="single" w:color="auto" w:sz="8"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合计</w:t>
            </w:r>
          </w:p>
        </w:tc>
        <w:tc>
          <w:tcPr>
            <w:tcW w:w="1724" w:type="dxa"/>
            <w:tcBorders>
              <w:top w:val="single" w:color="auto" w:sz="4" w:space="0"/>
              <w:left w:val="nil"/>
              <w:bottom w:val="single" w:color="auto" w:sz="4" w:space="0"/>
              <w:right w:val="single" w:color="000000" w:sz="4" w:space="0"/>
            </w:tcBorders>
            <w:vAlign w:val="center"/>
          </w:tcPr>
          <w:p>
            <w:pPr>
              <w:widowControl/>
              <w:jc w:val="center"/>
              <w:rPr>
                <w:rFonts w:ascii="宋体" w:hAnsi="宋体" w:cs="宋体"/>
                <w:kern w:val="0"/>
                <w:sz w:val="24"/>
              </w:rPr>
            </w:pPr>
            <w:r>
              <w:rPr>
                <w:rFonts w:hint="eastAsia" w:ascii="宋体" w:hAnsi="宋体" w:cs="宋体"/>
                <w:kern w:val="0"/>
                <w:sz w:val="24"/>
              </w:rPr>
              <w:t>　</w:t>
            </w:r>
          </w:p>
        </w:tc>
        <w:tc>
          <w:tcPr>
            <w:tcW w:w="881"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100</w:t>
            </w:r>
          </w:p>
        </w:tc>
        <w:tc>
          <w:tcPr>
            <w:tcW w:w="3523"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　</w:t>
            </w:r>
          </w:p>
        </w:tc>
        <w:tc>
          <w:tcPr>
            <w:tcW w:w="1313"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w:t>
            </w:r>
          </w:p>
        </w:tc>
        <w:tc>
          <w:tcPr>
            <w:tcW w:w="768" w:type="dxa"/>
            <w:tcBorders>
              <w:top w:val="nil"/>
              <w:left w:val="nil"/>
              <w:bottom w:val="single" w:color="auto" w:sz="4" w:space="0"/>
              <w:right w:val="single" w:color="auto" w:sz="8" w:space="0"/>
            </w:tcBorders>
            <w:noWrap/>
            <w:vAlign w:val="center"/>
          </w:tcPr>
          <w:p>
            <w:pPr>
              <w:widowControl/>
              <w:jc w:val="center"/>
              <w:rPr>
                <w:rFonts w:ascii="宋体" w:hAnsi="宋体" w:cs="宋体"/>
                <w:kern w:val="0"/>
                <w:sz w:val="24"/>
              </w:rPr>
            </w:pPr>
            <w:r>
              <w:rPr>
                <w:rFonts w:hint="eastAsia" w:ascii="宋体" w:hAnsi="宋体" w:cs="宋体"/>
                <w:kern w:val="0"/>
                <w:sz w:val="24"/>
              </w:rPr>
              <w:t>　</w:t>
            </w:r>
          </w:p>
        </w:tc>
      </w:tr>
    </w:tbl>
    <w:p>
      <w:pPr>
        <w:widowControl/>
        <w:jc w:val="center"/>
        <w:rPr>
          <w:rFonts w:ascii="宋体" w:hAnsi="宋体" w:cs="宋体"/>
          <w:kern w:val="0"/>
          <w:sz w:val="36"/>
          <w:szCs w:val="36"/>
        </w:rPr>
      </w:pPr>
      <w:r>
        <w:rPr>
          <w:rFonts w:hint="eastAsia" w:ascii="宋体" w:hAnsi="宋体" w:cs="宋体"/>
          <w:kern w:val="0"/>
          <w:sz w:val="36"/>
          <w:szCs w:val="36"/>
        </w:rPr>
        <w:br w:type="page"/>
      </w:r>
      <w:r>
        <w:rPr>
          <w:rFonts w:hint="eastAsia" w:ascii="宋体" w:hAnsi="宋体" w:cs="宋体"/>
          <w:kern w:val="0"/>
          <w:sz w:val="36"/>
          <w:szCs w:val="36"/>
        </w:rPr>
        <w:t>加扣分项</w:t>
      </w:r>
    </w:p>
    <w:p>
      <w:pPr>
        <w:rPr>
          <w:rFonts w:ascii="宋体" w:hAnsi="宋体" w:cs="宋体"/>
        </w:rPr>
      </w:pPr>
    </w:p>
    <w:tbl>
      <w:tblPr>
        <w:tblStyle w:val="8"/>
        <w:tblW w:w="9072" w:type="dxa"/>
        <w:tblInd w:w="108" w:type="dxa"/>
        <w:tblLayout w:type="fixed"/>
        <w:tblCellMar>
          <w:top w:w="0" w:type="dxa"/>
          <w:left w:w="108" w:type="dxa"/>
          <w:bottom w:w="0" w:type="dxa"/>
          <w:right w:w="108" w:type="dxa"/>
        </w:tblCellMar>
      </w:tblPr>
      <w:tblGrid>
        <w:gridCol w:w="913"/>
        <w:gridCol w:w="2106"/>
        <w:gridCol w:w="950"/>
        <w:gridCol w:w="2410"/>
        <w:gridCol w:w="1701"/>
        <w:gridCol w:w="992"/>
      </w:tblGrid>
      <w:tr>
        <w:tblPrEx>
          <w:tblCellMar>
            <w:top w:w="0" w:type="dxa"/>
            <w:left w:w="108" w:type="dxa"/>
            <w:bottom w:w="0" w:type="dxa"/>
            <w:right w:w="108" w:type="dxa"/>
          </w:tblCellMar>
        </w:tblPrEx>
        <w:trPr>
          <w:trHeight w:val="675" w:hRule="atLeast"/>
        </w:trPr>
        <w:tc>
          <w:tcPr>
            <w:tcW w:w="913" w:type="dxa"/>
            <w:tcBorders>
              <w:top w:val="single" w:color="auto" w:sz="4" w:space="0"/>
              <w:left w:val="single" w:color="auto" w:sz="8"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项目</w:t>
            </w:r>
          </w:p>
        </w:tc>
        <w:tc>
          <w:tcPr>
            <w:tcW w:w="2106" w:type="dxa"/>
            <w:tcBorders>
              <w:top w:val="single" w:color="auto" w:sz="4" w:space="0"/>
              <w:left w:val="nil"/>
              <w:bottom w:val="single" w:color="auto" w:sz="4" w:space="0"/>
              <w:right w:val="single" w:color="000000" w:sz="4" w:space="0"/>
            </w:tcBorders>
            <w:vAlign w:val="center"/>
          </w:tcPr>
          <w:p>
            <w:pPr>
              <w:widowControl/>
              <w:jc w:val="center"/>
              <w:rPr>
                <w:rFonts w:ascii="宋体" w:hAnsi="宋体" w:cs="宋体"/>
                <w:kern w:val="0"/>
                <w:sz w:val="24"/>
              </w:rPr>
            </w:pPr>
            <w:r>
              <w:rPr>
                <w:rFonts w:hint="eastAsia" w:ascii="宋体" w:hAnsi="宋体" w:cs="宋体"/>
                <w:kern w:val="0"/>
                <w:sz w:val="24"/>
              </w:rPr>
              <w:t>指标及内容</w:t>
            </w:r>
          </w:p>
        </w:tc>
        <w:tc>
          <w:tcPr>
            <w:tcW w:w="950"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kern w:val="0"/>
                <w:sz w:val="24"/>
              </w:rPr>
            </w:pPr>
          </w:p>
          <w:p>
            <w:pPr>
              <w:widowControl/>
              <w:jc w:val="center"/>
              <w:rPr>
                <w:rFonts w:ascii="宋体" w:hAnsi="宋体" w:cs="宋体"/>
                <w:kern w:val="0"/>
                <w:sz w:val="24"/>
              </w:rPr>
            </w:pPr>
            <w:r>
              <w:rPr>
                <w:rFonts w:hint="eastAsia" w:ascii="宋体" w:hAnsi="宋体" w:cs="宋体"/>
                <w:kern w:val="0"/>
                <w:sz w:val="24"/>
              </w:rPr>
              <w:t>分值（分）</w:t>
            </w:r>
          </w:p>
        </w:tc>
        <w:tc>
          <w:tcPr>
            <w:tcW w:w="2410"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kern w:val="0"/>
                <w:sz w:val="24"/>
              </w:rPr>
            </w:pPr>
          </w:p>
          <w:p>
            <w:pPr>
              <w:widowControl/>
              <w:jc w:val="center"/>
              <w:rPr>
                <w:rFonts w:ascii="宋体" w:hAnsi="宋体" w:cs="宋体"/>
                <w:kern w:val="0"/>
                <w:sz w:val="24"/>
              </w:rPr>
            </w:pPr>
            <w:r>
              <w:rPr>
                <w:rFonts w:hint="eastAsia" w:ascii="宋体" w:hAnsi="宋体" w:cs="宋体"/>
                <w:kern w:val="0"/>
                <w:sz w:val="24"/>
              </w:rPr>
              <w:t>标准</w:t>
            </w:r>
          </w:p>
          <w:p>
            <w:pPr>
              <w:widowControl/>
              <w:jc w:val="center"/>
              <w:rPr>
                <w:rFonts w:ascii="宋体" w:hAnsi="宋体" w:cs="宋体"/>
                <w:kern w:val="0"/>
                <w:sz w:val="24"/>
              </w:rPr>
            </w:pPr>
          </w:p>
        </w:tc>
        <w:tc>
          <w:tcPr>
            <w:tcW w:w="1701"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依据</w:t>
            </w:r>
          </w:p>
        </w:tc>
        <w:tc>
          <w:tcPr>
            <w:tcW w:w="992" w:type="dxa"/>
            <w:tcBorders>
              <w:top w:val="single" w:color="auto" w:sz="4" w:space="0"/>
              <w:left w:val="nil"/>
              <w:bottom w:val="single" w:color="auto" w:sz="4" w:space="0"/>
              <w:right w:val="single" w:color="auto" w:sz="8" w:space="0"/>
            </w:tcBorders>
            <w:noWrap/>
            <w:vAlign w:val="center"/>
          </w:tcPr>
          <w:p>
            <w:pPr>
              <w:widowControl/>
              <w:jc w:val="center"/>
              <w:rPr>
                <w:rFonts w:ascii="宋体" w:hAnsi="宋体" w:cs="宋体"/>
                <w:kern w:val="0"/>
                <w:sz w:val="24"/>
              </w:rPr>
            </w:pPr>
            <w:r>
              <w:rPr>
                <w:rFonts w:hint="eastAsia" w:ascii="宋体" w:hAnsi="宋体" w:cs="宋体"/>
                <w:kern w:val="0"/>
                <w:sz w:val="24"/>
              </w:rPr>
              <w:t>得分　</w:t>
            </w:r>
          </w:p>
        </w:tc>
      </w:tr>
      <w:tr>
        <w:tblPrEx>
          <w:tblCellMar>
            <w:top w:w="0" w:type="dxa"/>
            <w:left w:w="108" w:type="dxa"/>
            <w:bottom w:w="0" w:type="dxa"/>
            <w:right w:w="108" w:type="dxa"/>
          </w:tblCellMar>
        </w:tblPrEx>
        <w:trPr>
          <w:trHeight w:val="526" w:hRule="atLeast"/>
        </w:trPr>
        <w:tc>
          <w:tcPr>
            <w:tcW w:w="913" w:type="dxa"/>
            <w:vMerge w:val="restart"/>
            <w:tcBorders>
              <w:top w:val="single" w:color="auto" w:sz="4" w:space="0"/>
              <w:left w:val="single" w:color="auto" w:sz="8" w:space="0"/>
              <w:right w:val="single" w:color="auto" w:sz="4" w:space="0"/>
            </w:tcBorders>
            <w:vAlign w:val="center"/>
          </w:tcPr>
          <w:p>
            <w:pPr>
              <w:jc w:val="center"/>
              <w:rPr>
                <w:rFonts w:ascii="宋体" w:hAnsi="宋体" w:cs="宋体"/>
                <w:kern w:val="0"/>
                <w:sz w:val="24"/>
              </w:rPr>
            </w:pPr>
            <w:r>
              <w:rPr>
                <w:rFonts w:hint="eastAsia" w:ascii="宋体" w:hAnsi="宋体" w:cs="宋体"/>
                <w:kern w:val="0"/>
                <w:sz w:val="24"/>
              </w:rPr>
              <w:t>加分（18）</w:t>
            </w:r>
          </w:p>
        </w:tc>
        <w:tc>
          <w:tcPr>
            <w:tcW w:w="2106" w:type="dxa"/>
            <w:vMerge w:val="restart"/>
            <w:tcBorders>
              <w:top w:val="single" w:color="auto" w:sz="4" w:space="0"/>
              <w:left w:val="nil"/>
              <w:right w:val="single" w:color="000000" w:sz="4" w:space="0"/>
            </w:tcBorders>
            <w:vAlign w:val="center"/>
          </w:tcPr>
          <w:p>
            <w:pPr>
              <w:widowControl/>
              <w:jc w:val="center"/>
              <w:rPr>
                <w:rFonts w:ascii="宋体" w:hAnsi="宋体" w:cs="宋体"/>
                <w:kern w:val="0"/>
                <w:sz w:val="24"/>
              </w:rPr>
            </w:pPr>
          </w:p>
          <w:p>
            <w:pPr>
              <w:jc w:val="center"/>
              <w:rPr>
                <w:rFonts w:ascii="宋体" w:hAnsi="宋体" w:cs="宋体"/>
                <w:kern w:val="0"/>
                <w:sz w:val="24"/>
              </w:rPr>
            </w:pPr>
            <w:r>
              <w:rPr>
                <w:rFonts w:hint="eastAsia" w:ascii="宋体" w:hAnsi="宋体" w:cs="宋体"/>
                <w:kern w:val="0"/>
                <w:sz w:val="24"/>
              </w:rPr>
              <w:t>工会、党支部</w:t>
            </w:r>
          </w:p>
        </w:tc>
        <w:tc>
          <w:tcPr>
            <w:tcW w:w="950" w:type="dxa"/>
            <w:vMerge w:val="restart"/>
            <w:tcBorders>
              <w:top w:val="single" w:color="auto" w:sz="4" w:space="0"/>
              <w:left w:val="nil"/>
              <w:right w:val="single" w:color="auto" w:sz="4" w:space="0"/>
            </w:tcBorders>
            <w:noWrap/>
            <w:vAlign w:val="center"/>
          </w:tcPr>
          <w:p>
            <w:pPr>
              <w:widowControl/>
              <w:jc w:val="center"/>
              <w:rPr>
                <w:rFonts w:ascii="宋体" w:hAnsi="宋体" w:cs="宋体"/>
                <w:kern w:val="0"/>
                <w:sz w:val="24"/>
              </w:rPr>
            </w:pPr>
          </w:p>
          <w:p>
            <w:pPr>
              <w:jc w:val="center"/>
              <w:rPr>
                <w:rFonts w:ascii="宋体" w:hAnsi="宋体" w:cs="宋体"/>
                <w:kern w:val="0"/>
                <w:sz w:val="24"/>
              </w:rPr>
            </w:pPr>
            <w:r>
              <w:rPr>
                <w:rFonts w:hint="eastAsia" w:ascii="宋体" w:hAnsi="宋体" w:cs="宋体"/>
                <w:kern w:val="0"/>
                <w:sz w:val="24"/>
              </w:rPr>
              <w:t>2</w:t>
            </w:r>
          </w:p>
        </w:tc>
        <w:tc>
          <w:tcPr>
            <w:tcW w:w="2410" w:type="dxa"/>
            <w:tcBorders>
              <w:top w:val="single" w:color="auto" w:sz="4" w:space="0"/>
              <w:left w:val="nil"/>
              <w:right w:val="single" w:color="auto" w:sz="4" w:space="0"/>
            </w:tcBorders>
            <w:noWrap/>
            <w:vAlign w:val="center"/>
          </w:tcPr>
          <w:p>
            <w:pPr>
              <w:widowControl/>
              <w:jc w:val="center"/>
              <w:rPr>
                <w:rFonts w:ascii="宋体" w:hAnsi="宋体" w:cs="宋体"/>
                <w:kern w:val="0"/>
                <w:sz w:val="24"/>
              </w:rPr>
            </w:pPr>
          </w:p>
          <w:p>
            <w:pPr>
              <w:jc w:val="center"/>
              <w:rPr>
                <w:rFonts w:ascii="宋体" w:hAnsi="宋体" w:cs="宋体"/>
                <w:kern w:val="0"/>
                <w:sz w:val="24"/>
              </w:rPr>
            </w:pPr>
            <w:r>
              <w:rPr>
                <w:rFonts w:hint="eastAsia" w:ascii="宋体" w:hAnsi="宋体" w:cs="宋体"/>
                <w:kern w:val="0"/>
                <w:sz w:val="24"/>
              </w:rPr>
              <w:t>工会1分</w:t>
            </w:r>
          </w:p>
        </w:tc>
        <w:tc>
          <w:tcPr>
            <w:tcW w:w="1701" w:type="dxa"/>
            <w:vMerge w:val="restart"/>
            <w:tcBorders>
              <w:top w:val="single" w:color="auto" w:sz="4" w:space="0"/>
              <w:left w:val="nil"/>
              <w:right w:val="single" w:color="auto" w:sz="4" w:space="0"/>
            </w:tcBorders>
            <w:vAlign w:val="center"/>
          </w:tcPr>
          <w:p>
            <w:pPr>
              <w:widowControl/>
              <w:jc w:val="center"/>
              <w:rPr>
                <w:rFonts w:ascii="宋体" w:hAnsi="宋体" w:cs="宋体"/>
                <w:kern w:val="0"/>
                <w:sz w:val="24"/>
              </w:rPr>
            </w:pPr>
          </w:p>
          <w:p>
            <w:pPr>
              <w:widowControl/>
              <w:jc w:val="center"/>
              <w:rPr>
                <w:rFonts w:ascii="宋体" w:hAnsi="宋体" w:cs="宋体"/>
                <w:kern w:val="0"/>
                <w:sz w:val="24"/>
              </w:rPr>
            </w:pPr>
            <w:r>
              <w:rPr>
                <w:rFonts w:hint="eastAsia" w:ascii="宋体" w:hAnsi="宋体" w:cs="宋体"/>
                <w:kern w:val="0"/>
                <w:sz w:val="24"/>
              </w:rPr>
              <w:t>证明材料</w:t>
            </w:r>
          </w:p>
          <w:p>
            <w:pPr>
              <w:widowControl/>
              <w:jc w:val="center"/>
              <w:rPr>
                <w:rFonts w:ascii="宋体" w:hAnsi="宋体" w:cs="宋体"/>
                <w:kern w:val="0"/>
                <w:sz w:val="24"/>
              </w:rPr>
            </w:pPr>
          </w:p>
        </w:tc>
        <w:tc>
          <w:tcPr>
            <w:tcW w:w="992" w:type="dxa"/>
            <w:tcBorders>
              <w:top w:val="single" w:color="auto" w:sz="4" w:space="0"/>
              <w:left w:val="nil"/>
              <w:right w:val="single" w:color="auto" w:sz="8" w:space="0"/>
            </w:tcBorders>
            <w:noWrap/>
            <w:vAlign w:val="center"/>
          </w:tcPr>
          <w:p>
            <w:pPr>
              <w:jc w:val="center"/>
              <w:rPr>
                <w:rFonts w:ascii="宋体" w:hAnsi="宋体" w:cs="宋体"/>
                <w:kern w:val="0"/>
                <w:sz w:val="24"/>
              </w:rPr>
            </w:pPr>
          </w:p>
          <w:p>
            <w:pPr>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592" w:hRule="atLeast"/>
        </w:trPr>
        <w:tc>
          <w:tcPr>
            <w:tcW w:w="913" w:type="dxa"/>
            <w:vMerge w:val="continue"/>
            <w:tcBorders>
              <w:left w:val="single" w:color="auto" w:sz="8" w:space="0"/>
              <w:right w:val="single" w:color="auto" w:sz="4" w:space="0"/>
            </w:tcBorders>
            <w:vAlign w:val="center"/>
          </w:tcPr>
          <w:p>
            <w:pPr>
              <w:jc w:val="center"/>
            </w:pPr>
          </w:p>
        </w:tc>
        <w:tc>
          <w:tcPr>
            <w:tcW w:w="2106" w:type="dxa"/>
            <w:vMerge w:val="continue"/>
            <w:tcBorders>
              <w:left w:val="nil"/>
              <w:bottom w:val="single" w:color="auto" w:sz="4" w:space="0"/>
              <w:right w:val="single" w:color="000000" w:sz="4" w:space="0"/>
            </w:tcBorders>
            <w:vAlign w:val="center"/>
          </w:tcPr>
          <w:p>
            <w:pPr>
              <w:jc w:val="center"/>
            </w:pPr>
          </w:p>
        </w:tc>
        <w:tc>
          <w:tcPr>
            <w:tcW w:w="950" w:type="dxa"/>
            <w:vMerge w:val="continue"/>
            <w:tcBorders>
              <w:left w:val="nil"/>
              <w:bottom w:val="single" w:color="auto" w:sz="4" w:space="0"/>
              <w:right w:val="single" w:color="auto" w:sz="4" w:space="0"/>
            </w:tcBorders>
            <w:noWrap/>
            <w:vAlign w:val="center"/>
          </w:tcPr>
          <w:p>
            <w:pPr>
              <w:jc w:val="center"/>
            </w:pPr>
          </w:p>
        </w:tc>
        <w:tc>
          <w:tcPr>
            <w:tcW w:w="2410" w:type="dxa"/>
            <w:tcBorders>
              <w:top w:val="single" w:color="auto" w:sz="4" w:space="0"/>
              <w:left w:val="nil"/>
              <w:bottom w:val="single" w:color="auto" w:sz="4" w:space="0"/>
              <w:right w:val="single" w:color="auto" w:sz="4" w:space="0"/>
            </w:tcBorders>
            <w:noWrap/>
            <w:vAlign w:val="center"/>
          </w:tcPr>
          <w:p>
            <w:pPr>
              <w:jc w:val="center"/>
              <w:rPr>
                <w:rFonts w:ascii="宋体" w:hAnsi="宋体" w:cs="宋体"/>
                <w:kern w:val="0"/>
                <w:sz w:val="24"/>
              </w:rPr>
            </w:pPr>
            <w:r>
              <w:rPr>
                <w:rFonts w:hint="eastAsia" w:ascii="宋体" w:hAnsi="宋体" w:cs="宋体"/>
                <w:kern w:val="0"/>
                <w:sz w:val="24"/>
              </w:rPr>
              <w:t>党支部1分</w:t>
            </w:r>
          </w:p>
        </w:tc>
        <w:tc>
          <w:tcPr>
            <w:tcW w:w="1701" w:type="dxa"/>
            <w:vMerge w:val="continue"/>
            <w:tcBorders>
              <w:left w:val="nil"/>
              <w:bottom w:val="single" w:color="auto" w:sz="4" w:space="0"/>
              <w:right w:val="single" w:color="auto" w:sz="4" w:space="0"/>
            </w:tcBorders>
            <w:vAlign w:val="center"/>
          </w:tcPr>
          <w:p>
            <w:pPr>
              <w:jc w:val="center"/>
              <w:rPr>
                <w:rFonts w:ascii="宋体" w:hAnsi="宋体" w:cs="宋体"/>
                <w:kern w:val="0"/>
                <w:sz w:val="24"/>
              </w:rPr>
            </w:pPr>
          </w:p>
        </w:tc>
        <w:tc>
          <w:tcPr>
            <w:tcW w:w="992" w:type="dxa"/>
            <w:tcBorders>
              <w:top w:val="single" w:color="auto" w:sz="4" w:space="0"/>
              <w:left w:val="nil"/>
              <w:bottom w:val="single" w:color="auto" w:sz="4" w:space="0"/>
              <w:right w:val="single" w:color="auto" w:sz="8" w:space="0"/>
            </w:tcBorders>
            <w:noWrap/>
            <w:vAlign w:val="center"/>
          </w:tcPr>
          <w:p>
            <w:pPr>
              <w:jc w:val="center"/>
              <w:rPr>
                <w:rFonts w:ascii="宋体" w:hAnsi="宋体" w:cs="宋体"/>
                <w:kern w:val="0"/>
                <w:sz w:val="24"/>
              </w:rPr>
            </w:pPr>
          </w:p>
        </w:tc>
      </w:tr>
      <w:tr>
        <w:tblPrEx>
          <w:tblCellMar>
            <w:top w:w="0" w:type="dxa"/>
            <w:left w:w="108" w:type="dxa"/>
            <w:bottom w:w="0" w:type="dxa"/>
            <w:right w:w="108" w:type="dxa"/>
          </w:tblCellMar>
        </w:tblPrEx>
        <w:trPr>
          <w:trHeight w:val="1042" w:hRule="atLeast"/>
        </w:trPr>
        <w:tc>
          <w:tcPr>
            <w:tcW w:w="913" w:type="dxa"/>
            <w:vMerge w:val="continue"/>
            <w:tcBorders>
              <w:left w:val="single" w:color="auto" w:sz="8" w:space="0"/>
              <w:right w:val="single" w:color="auto" w:sz="4" w:space="0"/>
            </w:tcBorders>
            <w:vAlign w:val="center"/>
          </w:tcPr>
          <w:p>
            <w:pPr>
              <w:widowControl/>
              <w:jc w:val="left"/>
              <w:rPr>
                <w:rFonts w:ascii="宋体" w:hAnsi="宋体" w:cs="宋体"/>
                <w:kern w:val="0"/>
                <w:sz w:val="24"/>
              </w:rPr>
            </w:pPr>
          </w:p>
        </w:tc>
        <w:tc>
          <w:tcPr>
            <w:tcW w:w="2106" w:type="dxa"/>
            <w:tcBorders>
              <w:top w:val="single" w:color="auto" w:sz="4" w:space="0"/>
              <w:left w:val="nil"/>
              <w:bottom w:val="single" w:color="auto" w:sz="4" w:space="0"/>
              <w:right w:val="single" w:color="000000" w:sz="4" w:space="0"/>
            </w:tcBorders>
            <w:vAlign w:val="center"/>
          </w:tcPr>
          <w:p>
            <w:pPr>
              <w:widowControl/>
              <w:jc w:val="center"/>
              <w:rPr>
                <w:rFonts w:ascii="宋体" w:hAnsi="宋体" w:cs="宋体"/>
                <w:kern w:val="0"/>
                <w:sz w:val="24"/>
              </w:rPr>
            </w:pPr>
            <w:r>
              <w:rPr>
                <w:rFonts w:hint="eastAsia" w:ascii="宋体" w:hAnsi="宋体" w:cs="宋体"/>
                <w:kern w:val="0"/>
                <w:sz w:val="24"/>
              </w:rPr>
              <w:t>社会公益</w:t>
            </w:r>
          </w:p>
        </w:tc>
        <w:tc>
          <w:tcPr>
            <w:tcW w:w="950"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2</w:t>
            </w:r>
          </w:p>
        </w:tc>
        <w:tc>
          <w:tcPr>
            <w:tcW w:w="2410"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 xml:space="preserve">参与公益献爱心活动  </w:t>
            </w:r>
          </w:p>
          <w:p>
            <w:pPr>
              <w:widowControl/>
              <w:jc w:val="center"/>
              <w:rPr>
                <w:rFonts w:ascii="宋体" w:hAnsi="宋体" w:cs="宋体"/>
                <w:kern w:val="0"/>
                <w:sz w:val="24"/>
              </w:rPr>
            </w:pPr>
            <w:r>
              <w:rPr>
                <w:rFonts w:hint="eastAsia" w:ascii="宋体" w:hAnsi="宋体" w:cs="宋体"/>
                <w:kern w:val="0"/>
                <w:sz w:val="24"/>
              </w:rPr>
              <w:t>每千元/0.1分，2分</w:t>
            </w:r>
          </w:p>
        </w:tc>
        <w:tc>
          <w:tcPr>
            <w:tcW w:w="1701" w:type="dxa"/>
            <w:tcBorders>
              <w:top w:val="single" w:color="auto" w:sz="4" w:space="0"/>
              <w:left w:val="nil"/>
              <w:right w:val="single" w:color="auto" w:sz="4" w:space="0"/>
            </w:tcBorders>
            <w:noWrap/>
            <w:vAlign w:val="center"/>
          </w:tcPr>
          <w:p>
            <w:pPr>
              <w:jc w:val="center"/>
              <w:rPr>
                <w:rFonts w:ascii="宋体" w:hAnsi="宋体" w:cs="宋体"/>
                <w:kern w:val="0"/>
                <w:sz w:val="24"/>
              </w:rPr>
            </w:pPr>
            <w:r>
              <w:rPr>
                <w:rFonts w:hint="eastAsia" w:ascii="宋体" w:hAnsi="宋体" w:cs="宋体"/>
                <w:kern w:val="0"/>
                <w:sz w:val="24"/>
              </w:rPr>
              <w:t>发票、证书，社保证明</w:t>
            </w:r>
          </w:p>
        </w:tc>
        <w:tc>
          <w:tcPr>
            <w:tcW w:w="992" w:type="dxa"/>
            <w:tcBorders>
              <w:top w:val="single" w:color="auto" w:sz="4" w:space="0"/>
              <w:left w:val="nil"/>
              <w:right w:val="single" w:color="auto" w:sz="8" w:space="0"/>
            </w:tcBorders>
            <w:noWrap/>
            <w:vAlign w:val="center"/>
          </w:tcPr>
          <w:p>
            <w:pPr>
              <w:jc w:val="center"/>
              <w:rPr>
                <w:rFonts w:ascii="宋体" w:hAnsi="宋体" w:cs="宋体"/>
                <w:kern w:val="0"/>
                <w:sz w:val="24"/>
              </w:rPr>
            </w:pPr>
          </w:p>
        </w:tc>
      </w:tr>
      <w:tr>
        <w:tblPrEx>
          <w:tblCellMar>
            <w:top w:w="0" w:type="dxa"/>
            <w:left w:w="108" w:type="dxa"/>
            <w:bottom w:w="0" w:type="dxa"/>
            <w:right w:w="108" w:type="dxa"/>
          </w:tblCellMar>
        </w:tblPrEx>
        <w:trPr>
          <w:trHeight w:val="560" w:hRule="atLeast"/>
        </w:trPr>
        <w:tc>
          <w:tcPr>
            <w:tcW w:w="913" w:type="dxa"/>
            <w:vMerge w:val="continue"/>
            <w:tcBorders>
              <w:left w:val="single" w:color="auto" w:sz="8" w:space="0"/>
              <w:right w:val="single" w:color="auto" w:sz="4" w:space="0"/>
            </w:tcBorders>
            <w:vAlign w:val="center"/>
          </w:tcPr>
          <w:p>
            <w:pPr>
              <w:widowControl/>
              <w:jc w:val="left"/>
              <w:rPr>
                <w:rFonts w:ascii="宋体" w:hAnsi="宋体" w:cs="宋体"/>
                <w:kern w:val="0"/>
                <w:sz w:val="24"/>
              </w:rPr>
            </w:pPr>
          </w:p>
        </w:tc>
        <w:tc>
          <w:tcPr>
            <w:tcW w:w="2106" w:type="dxa"/>
            <w:vMerge w:val="restart"/>
            <w:tcBorders>
              <w:top w:val="single" w:color="auto" w:sz="4" w:space="0"/>
              <w:left w:val="nil"/>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参政议政</w:t>
            </w:r>
          </w:p>
        </w:tc>
        <w:tc>
          <w:tcPr>
            <w:tcW w:w="950"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2</w:t>
            </w:r>
          </w:p>
        </w:tc>
        <w:tc>
          <w:tcPr>
            <w:tcW w:w="2410"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人大代表 1分</w:t>
            </w:r>
          </w:p>
        </w:tc>
        <w:tc>
          <w:tcPr>
            <w:tcW w:w="1701" w:type="dxa"/>
            <w:vMerge w:val="restart"/>
            <w:tcBorders>
              <w:top w:val="single" w:color="auto" w:sz="4" w:space="0"/>
              <w:left w:val="nil"/>
              <w:right w:val="single" w:color="auto" w:sz="4" w:space="0"/>
            </w:tcBorders>
            <w:noWrap/>
            <w:vAlign w:val="center"/>
          </w:tcPr>
          <w:p>
            <w:pPr>
              <w:jc w:val="center"/>
              <w:rPr>
                <w:rFonts w:ascii="宋体" w:hAnsi="宋体" w:cs="宋体"/>
                <w:kern w:val="0"/>
                <w:sz w:val="24"/>
              </w:rPr>
            </w:pPr>
            <w:r>
              <w:rPr>
                <w:rFonts w:hint="eastAsia" w:ascii="宋体" w:hAnsi="宋体" w:cs="宋体"/>
                <w:kern w:val="0"/>
                <w:sz w:val="24"/>
              </w:rPr>
              <w:t>证书或文件，在本单位社保证明</w:t>
            </w:r>
          </w:p>
        </w:tc>
        <w:tc>
          <w:tcPr>
            <w:tcW w:w="992" w:type="dxa"/>
            <w:tcBorders>
              <w:top w:val="single" w:color="auto" w:sz="4" w:space="0"/>
              <w:left w:val="nil"/>
              <w:bottom w:val="single" w:color="auto" w:sz="4" w:space="0"/>
              <w:right w:val="single" w:color="auto" w:sz="8" w:space="0"/>
            </w:tcBorders>
            <w:noWrap/>
            <w:vAlign w:val="center"/>
          </w:tcPr>
          <w:p>
            <w:pPr>
              <w:jc w:val="center"/>
              <w:rPr>
                <w:rFonts w:ascii="宋体" w:hAnsi="宋体" w:cs="宋体"/>
                <w:kern w:val="0"/>
                <w:sz w:val="24"/>
              </w:rPr>
            </w:pPr>
          </w:p>
        </w:tc>
      </w:tr>
      <w:tr>
        <w:tblPrEx>
          <w:tblCellMar>
            <w:top w:w="0" w:type="dxa"/>
            <w:left w:w="108" w:type="dxa"/>
            <w:bottom w:w="0" w:type="dxa"/>
            <w:right w:w="108" w:type="dxa"/>
          </w:tblCellMar>
        </w:tblPrEx>
        <w:trPr>
          <w:trHeight w:val="568" w:hRule="atLeast"/>
        </w:trPr>
        <w:tc>
          <w:tcPr>
            <w:tcW w:w="913" w:type="dxa"/>
            <w:vMerge w:val="continue"/>
            <w:tcBorders>
              <w:left w:val="single" w:color="auto" w:sz="8" w:space="0"/>
              <w:right w:val="single" w:color="auto" w:sz="4" w:space="0"/>
            </w:tcBorders>
            <w:vAlign w:val="center"/>
          </w:tcPr>
          <w:p>
            <w:pPr>
              <w:widowControl/>
              <w:jc w:val="left"/>
              <w:rPr>
                <w:rFonts w:ascii="宋体" w:hAnsi="宋体" w:cs="宋体"/>
                <w:kern w:val="0"/>
                <w:sz w:val="24"/>
              </w:rPr>
            </w:pPr>
          </w:p>
        </w:tc>
        <w:tc>
          <w:tcPr>
            <w:tcW w:w="2106" w:type="dxa"/>
            <w:vMerge w:val="continue"/>
            <w:tcBorders>
              <w:top w:val="single" w:color="auto" w:sz="4" w:space="0"/>
              <w:left w:val="nil"/>
              <w:right w:val="single" w:color="auto" w:sz="4" w:space="0"/>
            </w:tcBorders>
            <w:vAlign w:val="center"/>
          </w:tcPr>
          <w:p>
            <w:pPr>
              <w:widowControl/>
              <w:jc w:val="center"/>
              <w:rPr>
                <w:rFonts w:ascii="宋体" w:hAnsi="宋体" w:cs="宋体"/>
                <w:kern w:val="0"/>
                <w:sz w:val="24"/>
              </w:rPr>
            </w:pPr>
          </w:p>
        </w:tc>
        <w:tc>
          <w:tcPr>
            <w:tcW w:w="950"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kern w:val="0"/>
                <w:sz w:val="24"/>
              </w:rPr>
            </w:pPr>
          </w:p>
        </w:tc>
        <w:tc>
          <w:tcPr>
            <w:tcW w:w="2410"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政协委员 1分</w:t>
            </w:r>
          </w:p>
        </w:tc>
        <w:tc>
          <w:tcPr>
            <w:tcW w:w="1701" w:type="dxa"/>
            <w:vMerge w:val="continue"/>
            <w:tcBorders>
              <w:top w:val="single" w:color="auto" w:sz="4" w:space="0"/>
              <w:left w:val="nil"/>
              <w:right w:val="single" w:color="auto" w:sz="4" w:space="0"/>
            </w:tcBorders>
            <w:noWrap/>
            <w:vAlign w:val="center"/>
          </w:tcPr>
          <w:p>
            <w:pPr>
              <w:jc w:val="center"/>
              <w:rPr>
                <w:rFonts w:ascii="宋体" w:hAnsi="宋体" w:cs="宋体"/>
                <w:kern w:val="0"/>
                <w:sz w:val="24"/>
              </w:rPr>
            </w:pPr>
          </w:p>
        </w:tc>
        <w:tc>
          <w:tcPr>
            <w:tcW w:w="992" w:type="dxa"/>
            <w:tcBorders>
              <w:top w:val="single" w:color="auto" w:sz="4" w:space="0"/>
              <w:left w:val="nil"/>
              <w:right w:val="single" w:color="auto" w:sz="8" w:space="0"/>
            </w:tcBorders>
            <w:noWrap/>
            <w:vAlign w:val="center"/>
          </w:tcPr>
          <w:p>
            <w:pPr>
              <w:jc w:val="center"/>
              <w:rPr>
                <w:rFonts w:ascii="宋体" w:hAnsi="宋体" w:cs="宋体"/>
                <w:kern w:val="0"/>
                <w:sz w:val="24"/>
              </w:rPr>
            </w:pPr>
          </w:p>
        </w:tc>
      </w:tr>
      <w:tr>
        <w:tblPrEx>
          <w:tblCellMar>
            <w:top w:w="0" w:type="dxa"/>
            <w:left w:w="108" w:type="dxa"/>
            <w:bottom w:w="0" w:type="dxa"/>
            <w:right w:w="108" w:type="dxa"/>
          </w:tblCellMar>
        </w:tblPrEx>
        <w:trPr>
          <w:trHeight w:val="1036" w:hRule="atLeast"/>
        </w:trPr>
        <w:tc>
          <w:tcPr>
            <w:tcW w:w="913" w:type="dxa"/>
            <w:vMerge w:val="continue"/>
            <w:tcBorders>
              <w:left w:val="single" w:color="auto" w:sz="8" w:space="0"/>
              <w:right w:val="single" w:color="auto" w:sz="4" w:space="0"/>
            </w:tcBorders>
            <w:vAlign w:val="center"/>
          </w:tcPr>
          <w:p>
            <w:pPr>
              <w:widowControl/>
              <w:jc w:val="left"/>
              <w:rPr>
                <w:rFonts w:ascii="宋体" w:hAnsi="宋体" w:cs="宋体"/>
                <w:kern w:val="0"/>
                <w:sz w:val="24"/>
              </w:rPr>
            </w:pPr>
          </w:p>
        </w:tc>
        <w:tc>
          <w:tcPr>
            <w:tcW w:w="2106"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表彰奖励</w:t>
            </w:r>
          </w:p>
        </w:tc>
        <w:tc>
          <w:tcPr>
            <w:tcW w:w="95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3</w:t>
            </w:r>
          </w:p>
        </w:tc>
        <w:tc>
          <w:tcPr>
            <w:tcW w:w="2410"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省、市、县有关行政部门奖项，省3分，市2分、县1分</w:t>
            </w:r>
          </w:p>
        </w:tc>
        <w:tc>
          <w:tcPr>
            <w:tcW w:w="1701"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单位或主要负责人获奖证书和文件</w:t>
            </w:r>
          </w:p>
        </w:tc>
        <w:tc>
          <w:tcPr>
            <w:tcW w:w="992" w:type="dxa"/>
            <w:tcBorders>
              <w:top w:val="single" w:color="auto" w:sz="4" w:space="0"/>
              <w:left w:val="nil"/>
              <w:bottom w:val="single" w:color="auto" w:sz="4" w:space="0"/>
              <w:right w:val="single" w:color="auto" w:sz="8" w:space="0"/>
            </w:tcBorders>
            <w:noWrap/>
            <w:vAlign w:val="center"/>
          </w:tcPr>
          <w:p>
            <w:pPr>
              <w:jc w:val="center"/>
              <w:rPr>
                <w:rFonts w:ascii="宋体" w:hAnsi="宋体" w:cs="宋体"/>
                <w:kern w:val="0"/>
                <w:sz w:val="24"/>
              </w:rPr>
            </w:pPr>
          </w:p>
        </w:tc>
      </w:tr>
      <w:tr>
        <w:tblPrEx>
          <w:tblCellMar>
            <w:top w:w="0" w:type="dxa"/>
            <w:left w:w="108" w:type="dxa"/>
            <w:bottom w:w="0" w:type="dxa"/>
            <w:right w:w="108" w:type="dxa"/>
          </w:tblCellMar>
        </w:tblPrEx>
        <w:trPr>
          <w:trHeight w:val="1036" w:hRule="atLeast"/>
        </w:trPr>
        <w:tc>
          <w:tcPr>
            <w:tcW w:w="913" w:type="dxa"/>
            <w:vMerge w:val="continue"/>
            <w:tcBorders>
              <w:left w:val="single" w:color="auto" w:sz="8" w:space="0"/>
              <w:right w:val="single" w:color="auto" w:sz="4" w:space="0"/>
            </w:tcBorders>
            <w:vAlign w:val="center"/>
          </w:tcPr>
          <w:p>
            <w:pPr>
              <w:widowControl/>
              <w:jc w:val="left"/>
              <w:rPr>
                <w:rFonts w:ascii="宋体" w:hAnsi="宋体" w:cs="宋体"/>
                <w:kern w:val="0"/>
                <w:sz w:val="24"/>
              </w:rPr>
            </w:pPr>
          </w:p>
        </w:tc>
        <w:tc>
          <w:tcPr>
            <w:tcW w:w="2106" w:type="dxa"/>
            <w:tcBorders>
              <w:top w:val="single" w:color="auto" w:sz="4" w:space="0"/>
              <w:left w:val="nil"/>
              <w:bottom w:val="single" w:color="auto" w:sz="4" w:space="0"/>
              <w:right w:val="single" w:color="000000" w:sz="4" w:space="0"/>
            </w:tcBorders>
            <w:vAlign w:val="center"/>
          </w:tcPr>
          <w:p>
            <w:pPr>
              <w:widowControl/>
              <w:jc w:val="center"/>
              <w:rPr>
                <w:rFonts w:ascii="宋体" w:hAnsi="宋体" w:cs="宋体"/>
                <w:kern w:val="0"/>
                <w:sz w:val="24"/>
              </w:rPr>
            </w:pPr>
            <w:r>
              <w:rPr>
                <w:rFonts w:hint="eastAsia" w:ascii="宋体" w:hAnsi="宋体" w:cs="宋体"/>
                <w:kern w:val="0"/>
                <w:sz w:val="24"/>
              </w:rPr>
              <w:t>课题研究</w:t>
            </w:r>
          </w:p>
        </w:tc>
        <w:tc>
          <w:tcPr>
            <w:tcW w:w="950"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2</w:t>
            </w:r>
          </w:p>
        </w:tc>
        <w:tc>
          <w:tcPr>
            <w:tcW w:w="2410"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近两年市级以上行政单位或行业协会课题</w:t>
            </w:r>
          </w:p>
        </w:tc>
        <w:tc>
          <w:tcPr>
            <w:tcW w:w="1701"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课题验收通过的文件</w:t>
            </w:r>
          </w:p>
        </w:tc>
        <w:tc>
          <w:tcPr>
            <w:tcW w:w="992" w:type="dxa"/>
            <w:tcBorders>
              <w:top w:val="single" w:color="auto" w:sz="4" w:space="0"/>
              <w:left w:val="nil"/>
              <w:right w:val="single" w:color="auto" w:sz="8" w:space="0"/>
            </w:tcBorders>
            <w:noWrap/>
            <w:vAlign w:val="center"/>
          </w:tcPr>
          <w:p>
            <w:pPr>
              <w:widowControl/>
              <w:jc w:val="center"/>
              <w:rPr>
                <w:rFonts w:ascii="宋体" w:hAnsi="宋体" w:cs="宋体"/>
                <w:kern w:val="0"/>
                <w:sz w:val="24"/>
              </w:rPr>
            </w:pPr>
          </w:p>
        </w:tc>
      </w:tr>
      <w:tr>
        <w:tblPrEx>
          <w:tblCellMar>
            <w:top w:w="0" w:type="dxa"/>
            <w:left w:w="108" w:type="dxa"/>
            <w:bottom w:w="0" w:type="dxa"/>
            <w:right w:w="108" w:type="dxa"/>
          </w:tblCellMar>
        </w:tblPrEx>
        <w:trPr>
          <w:trHeight w:val="1006" w:hRule="atLeast"/>
        </w:trPr>
        <w:tc>
          <w:tcPr>
            <w:tcW w:w="913" w:type="dxa"/>
            <w:vMerge w:val="continue"/>
            <w:tcBorders>
              <w:left w:val="single" w:color="auto" w:sz="8" w:space="0"/>
              <w:right w:val="single" w:color="auto" w:sz="4" w:space="0"/>
            </w:tcBorders>
            <w:vAlign w:val="center"/>
          </w:tcPr>
          <w:p>
            <w:pPr>
              <w:widowControl/>
              <w:jc w:val="left"/>
              <w:rPr>
                <w:rFonts w:ascii="宋体" w:hAnsi="宋体" w:cs="宋体"/>
                <w:kern w:val="0"/>
                <w:sz w:val="24"/>
              </w:rPr>
            </w:pPr>
          </w:p>
        </w:tc>
        <w:tc>
          <w:tcPr>
            <w:tcW w:w="2106" w:type="dxa"/>
            <w:tcBorders>
              <w:top w:val="single" w:color="auto" w:sz="4" w:space="0"/>
              <w:left w:val="nil"/>
              <w:bottom w:val="single" w:color="auto" w:sz="4" w:space="0"/>
              <w:right w:val="single" w:color="000000" w:sz="4" w:space="0"/>
            </w:tcBorders>
            <w:vAlign w:val="center"/>
          </w:tcPr>
          <w:p>
            <w:pPr>
              <w:widowControl/>
              <w:jc w:val="center"/>
              <w:rPr>
                <w:rFonts w:ascii="宋体" w:hAnsi="宋体" w:cs="宋体"/>
                <w:kern w:val="0"/>
                <w:sz w:val="24"/>
              </w:rPr>
            </w:pPr>
            <w:r>
              <w:rPr>
                <w:rFonts w:hint="eastAsia" w:ascii="宋体" w:hAnsi="宋体" w:cs="宋体"/>
                <w:kern w:val="0"/>
                <w:sz w:val="24"/>
              </w:rPr>
              <w:t>业务拓展</w:t>
            </w:r>
          </w:p>
        </w:tc>
        <w:tc>
          <w:tcPr>
            <w:tcW w:w="950"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2</w:t>
            </w:r>
          </w:p>
        </w:tc>
        <w:tc>
          <w:tcPr>
            <w:tcW w:w="2410"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宗地评估之外的其他自然资源评估评价业务1项1分  2分</w:t>
            </w:r>
          </w:p>
        </w:tc>
        <w:tc>
          <w:tcPr>
            <w:tcW w:w="1701"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中标通知和合同</w:t>
            </w:r>
          </w:p>
        </w:tc>
        <w:tc>
          <w:tcPr>
            <w:tcW w:w="992" w:type="dxa"/>
            <w:tcBorders>
              <w:top w:val="single" w:color="auto" w:sz="4" w:space="0"/>
              <w:left w:val="nil"/>
              <w:right w:val="single" w:color="auto" w:sz="8" w:space="0"/>
            </w:tcBorders>
            <w:noWrap/>
            <w:vAlign w:val="center"/>
          </w:tcPr>
          <w:p>
            <w:pPr>
              <w:widowControl/>
              <w:jc w:val="center"/>
              <w:rPr>
                <w:rFonts w:ascii="宋体" w:hAnsi="宋体" w:cs="宋体"/>
                <w:kern w:val="0"/>
                <w:sz w:val="24"/>
              </w:rPr>
            </w:pPr>
          </w:p>
        </w:tc>
      </w:tr>
      <w:tr>
        <w:tblPrEx>
          <w:tblCellMar>
            <w:top w:w="0" w:type="dxa"/>
            <w:left w:w="108" w:type="dxa"/>
            <w:bottom w:w="0" w:type="dxa"/>
            <w:right w:w="108" w:type="dxa"/>
          </w:tblCellMar>
        </w:tblPrEx>
        <w:trPr>
          <w:trHeight w:val="1000" w:hRule="atLeast"/>
        </w:trPr>
        <w:tc>
          <w:tcPr>
            <w:tcW w:w="913" w:type="dxa"/>
            <w:vMerge w:val="continue"/>
            <w:tcBorders>
              <w:left w:val="single" w:color="auto" w:sz="8" w:space="0"/>
              <w:bottom w:val="single" w:color="000000" w:sz="4" w:space="0"/>
              <w:right w:val="single" w:color="auto" w:sz="4" w:space="0"/>
            </w:tcBorders>
            <w:vAlign w:val="center"/>
          </w:tcPr>
          <w:p>
            <w:pPr>
              <w:widowControl/>
              <w:jc w:val="left"/>
              <w:rPr>
                <w:rFonts w:ascii="宋体" w:hAnsi="宋体" w:cs="宋体"/>
                <w:kern w:val="0"/>
                <w:sz w:val="24"/>
              </w:rPr>
            </w:pPr>
          </w:p>
        </w:tc>
        <w:tc>
          <w:tcPr>
            <w:tcW w:w="2106" w:type="dxa"/>
            <w:tcBorders>
              <w:top w:val="single" w:color="auto" w:sz="4" w:space="0"/>
              <w:left w:val="nil"/>
              <w:bottom w:val="single" w:color="auto" w:sz="4" w:space="0"/>
              <w:right w:val="single" w:color="000000" w:sz="4" w:space="0"/>
            </w:tcBorders>
            <w:vAlign w:val="center"/>
          </w:tcPr>
          <w:p>
            <w:pPr>
              <w:widowControl/>
              <w:jc w:val="center"/>
              <w:rPr>
                <w:rFonts w:ascii="宋体" w:hAnsi="宋体" w:cs="宋体"/>
                <w:kern w:val="0"/>
                <w:sz w:val="24"/>
              </w:rPr>
            </w:pPr>
            <w:r>
              <w:rPr>
                <w:rFonts w:hint="eastAsia" w:ascii="宋体" w:hAnsi="宋体" w:cs="宋体"/>
                <w:kern w:val="0"/>
                <w:sz w:val="24"/>
              </w:rPr>
              <w:t>其他</w:t>
            </w:r>
          </w:p>
        </w:tc>
        <w:tc>
          <w:tcPr>
            <w:tcW w:w="950"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5</w:t>
            </w:r>
          </w:p>
        </w:tc>
        <w:tc>
          <w:tcPr>
            <w:tcW w:w="2410"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对协会或行业有突出贡献等情况</w:t>
            </w:r>
          </w:p>
        </w:tc>
        <w:tc>
          <w:tcPr>
            <w:tcW w:w="1701"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省协会</w:t>
            </w:r>
          </w:p>
          <w:p>
            <w:pPr>
              <w:widowControl/>
              <w:jc w:val="center"/>
              <w:rPr>
                <w:rFonts w:ascii="宋体" w:hAnsi="宋体" w:cs="宋体"/>
                <w:kern w:val="0"/>
                <w:sz w:val="24"/>
              </w:rPr>
            </w:pPr>
            <w:r>
              <w:rPr>
                <w:rFonts w:hint="eastAsia" w:ascii="宋体" w:hAnsi="宋体" w:cs="宋体"/>
                <w:kern w:val="0"/>
                <w:sz w:val="24"/>
              </w:rPr>
              <w:t>认定</w:t>
            </w:r>
          </w:p>
        </w:tc>
        <w:tc>
          <w:tcPr>
            <w:tcW w:w="992" w:type="dxa"/>
            <w:tcBorders>
              <w:top w:val="single" w:color="auto" w:sz="4" w:space="0"/>
              <w:left w:val="nil"/>
              <w:bottom w:val="single" w:color="auto" w:sz="4" w:space="0"/>
              <w:right w:val="single" w:color="auto" w:sz="8" w:space="0"/>
            </w:tcBorders>
            <w:noWrap/>
            <w:vAlign w:val="center"/>
          </w:tcPr>
          <w:p>
            <w:pPr>
              <w:widowControl/>
              <w:jc w:val="center"/>
              <w:rPr>
                <w:rFonts w:ascii="宋体" w:hAnsi="宋体" w:cs="宋体"/>
                <w:kern w:val="0"/>
                <w:sz w:val="24"/>
              </w:rPr>
            </w:pPr>
          </w:p>
        </w:tc>
      </w:tr>
      <w:tr>
        <w:tblPrEx>
          <w:tblCellMar>
            <w:top w:w="0" w:type="dxa"/>
            <w:left w:w="108" w:type="dxa"/>
            <w:bottom w:w="0" w:type="dxa"/>
            <w:right w:w="108" w:type="dxa"/>
          </w:tblCellMar>
        </w:tblPrEx>
        <w:trPr>
          <w:trHeight w:val="1126" w:hRule="atLeast"/>
        </w:trPr>
        <w:tc>
          <w:tcPr>
            <w:tcW w:w="913" w:type="dxa"/>
            <w:tcBorders>
              <w:top w:val="nil"/>
              <w:left w:val="single" w:color="auto" w:sz="8"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扣分</w:t>
            </w:r>
          </w:p>
          <w:p>
            <w:pPr>
              <w:widowControl/>
              <w:jc w:val="center"/>
              <w:rPr>
                <w:rFonts w:ascii="宋体" w:hAnsi="宋体" w:cs="宋体"/>
                <w:kern w:val="0"/>
                <w:sz w:val="24"/>
              </w:rPr>
            </w:pPr>
            <w:r>
              <w:rPr>
                <w:rFonts w:hint="eastAsia" w:ascii="宋体" w:hAnsi="宋体" w:cs="宋体"/>
                <w:kern w:val="0"/>
                <w:sz w:val="24"/>
              </w:rPr>
              <w:t>（10）</w:t>
            </w:r>
          </w:p>
        </w:tc>
        <w:tc>
          <w:tcPr>
            <w:tcW w:w="2106" w:type="dxa"/>
            <w:tcBorders>
              <w:top w:val="single" w:color="auto" w:sz="4" w:space="0"/>
              <w:left w:val="nil"/>
              <w:right w:val="single" w:color="000000" w:sz="4" w:space="0"/>
            </w:tcBorders>
            <w:vAlign w:val="center"/>
          </w:tcPr>
          <w:p>
            <w:pPr>
              <w:jc w:val="center"/>
              <w:rPr>
                <w:rFonts w:ascii="宋体" w:hAnsi="宋体" w:cs="宋体"/>
                <w:kern w:val="0"/>
                <w:sz w:val="24"/>
              </w:rPr>
            </w:pPr>
            <w:r>
              <w:rPr>
                <w:rFonts w:hint="eastAsia" w:ascii="宋体" w:hAnsi="宋体" w:cs="宋体"/>
                <w:kern w:val="0"/>
                <w:sz w:val="24"/>
              </w:rPr>
              <w:t>评定年度至机构提交申请材料之日有不良影响</w:t>
            </w:r>
          </w:p>
        </w:tc>
        <w:tc>
          <w:tcPr>
            <w:tcW w:w="950" w:type="dxa"/>
            <w:tcBorders>
              <w:top w:val="nil"/>
              <w:left w:val="nil"/>
              <w:right w:val="single" w:color="auto" w:sz="4" w:space="0"/>
            </w:tcBorders>
            <w:noWrap/>
            <w:vAlign w:val="center"/>
          </w:tcPr>
          <w:p>
            <w:pPr>
              <w:jc w:val="center"/>
              <w:rPr>
                <w:rFonts w:ascii="宋体" w:hAnsi="宋体" w:cs="宋体"/>
                <w:kern w:val="0"/>
                <w:sz w:val="24"/>
              </w:rPr>
            </w:pPr>
            <w:r>
              <w:rPr>
                <w:rFonts w:hint="eastAsia" w:ascii="宋体" w:hAnsi="宋体" w:cs="宋体"/>
                <w:kern w:val="0"/>
                <w:sz w:val="24"/>
              </w:rPr>
              <w:t>10</w:t>
            </w:r>
          </w:p>
        </w:tc>
        <w:tc>
          <w:tcPr>
            <w:tcW w:w="2410" w:type="dxa"/>
            <w:tcBorders>
              <w:top w:val="nil"/>
              <w:left w:val="nil"/>
              <w:right w:val="single" w:color="auto" w:sz="4" w:space="0"/>
            </w:tcBorders>
            <w:vAlign w:val="center"/>
          </w:tcPr>
          <w:p>
            <w:pPr>
              <w:jc w:val="center"/>
              <w:rPr>
                <w:rFonts w:ascii="宋体" w:hAnsi="宋体" w:cs="宋体"/>
                <w:kern w:val="0"/>
                <w:sz w:val="24"/>
              </w:rPr>
            </w:pPr>
            <w:r>
              <w:rPr>
                <w:rFonts w:hint="eastAsia" w:ascii="宋体" w:hAnsi="宋体" w:cs="宋体"/>
                <w:kern w:val="0"/>
                <w:sz w:val="24"/>
              </w:rPr>
              <w:t>视情节轻重，每次扣3-5分；不按时缴纳会费扣5分</w:t>
            </w:r>
          </w:p>
        </w:tc>
        <w:tc>
          <w:tcPr>
            <w:tcW w:w="1701" w:type="dxa"/>
            <w:tcBorders>
              <w:top w:val="nil"/>
              <w:left w:val="nil"/>
              <w:right w:val="single" w:color="auto" w:sz="4" w:space="0"/>
            </w:tcBorders>
            <w:noWrap/>
            <w:vAlign w:val="center"/>
          </w:tcPr>
          <w:p>
            <w:pPr>
              <w:jc w:val="center"/>
              <w:rPr>
                <w:rFonts w:ascii="宋体" w:hAnsi="宋体" w:cs="宋体"/>
                <w:kern w:val="0"/>
                <w:sz w:val="24"/>
              </w:rPr>
            </w:pPr>
            <w:r>
              <w:rPr>
                <w:rFonts w:hint="eastAsia" w:ascii="宋体" w:hAnsi="宋体" w:cs="宋体"/>
                <w:kern w:val="0"/>
                <w:sz w:val="24"/>
              </w:rPr>
              <w:t>省自然资源厅、省协会根据有关落实情况或记录</w:t>
            </w:r>
          </w:p>
        </w:tc>
        <w:tc>
          <w:tcPr>
            <w:tcW w:w="992" w:type="dxa"/>
            <w:tcBorders>
              <w:top w:val="nil"/>
              <w:left w:val="nil"/>
              <w:right w:val="single" w:color="auto" w:sz="8" w:space="0"/>
            </w:tcBorders>
            <w:noWrap/>
            <w:vAlign w:val="center"/>
          </w:tcPr>
          <w:p>
            <w:pPr>
              <w:widowControl/>
              <w:jc w:val="center"/>
              <w:rPr>
                <w:rFonts w:ascii="宋体" w:hAnsi="宋体" w:cs="宋体"/>
                <w:kern w:val="0"/>
                <w:sz w:val="24"/>
              </w:rPr>
            </w:pPr>
            <w:r>
              <w:rPr>
                <w:rFonts w:hint="eastAsia" w:ascii="宋体" w:hAnsi="宋体" w:cs="宋体"/>
                <w:kern w:val="0"/>
                <w:sz w:val="24"/>
              </w:rPr>
              <w:t>　</w:t>
            </w:r>
          </w:p>
          <w:p>
            <w:pPr>
              <w:widowControl/>
              <w:jc w:val="center"/>
              <w:rPr>
                <w:rFonts w:ascii="宋体" w:hAnsi="宋体" w:cs="宋体"/>
                <w:kern w:val="0"/>
                <w:sz w:val="24"/>
              </w:rPr>
            </w:pPr>
            <w:r>
              <w:rPr>
                <w:rFonts w:hint="eastAsia" w:ascii="宋体" w:hAnsi="宋体" w:cs="宋体"/>
                <w:kern w:val="0"/>
                <w:sz w:val="24"/>
              </w:rPr>
              <w:t>　</w:t>
            </w:r>
          </w:p>
          <w:p>
            <w:pPr>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617" w:hRule="atLeast"/>
        </w:trPr>
        <w:tc>
          <w:tcPr>
            <w:tcW w:w="913" w:type="dxa"/>
            <w:tcBorders>
              <w:top w:val="single" w:color="auto" w:sz="4" w:space="0"/>
              <w:left w:val="single" w:color="auto" w:sz="8" w:space="0"/>
              <w:bottom w:val="single" w:color="auto" w:sz="8" w:space="0"/>
              <w:right w:val="single" w:color="auto" w:sz="4" w:space="0"/>
            </w:tcBorders>
            <w:vAlign w:val="center"/>
          </w:tcPr>
          <w:p>
            <w:pPr>
              <w:jc w:val="center"/>
              <w:rPr>
                <w:rFonts w:ascii="宋体" w:hAnsi="宋体" w:cs="宋体"/>
                <w:kern w:val="0"/>
                <w:sz w:val="24"/>
              </w:rPr>
            </w:pPr>
            <w:r>
              <w:rPr>
                <w:rFonts w:hint="eastAsia" w:ascii="宋体" w:hAnsi="宋体" w:cs="宋体"/>
                <w:kern w:val="0"/>
                <w:sz w:val="24"/>
              </w:rPr>
              <w:t>总计</w:t>
            </w:r>
          </w:p>
        </w:tc>
        <w:tc>
          <w:tcPr>
            <w:tcW w:w="2106" w:type="dxa"/>
            <w:tcBorders>
              <w:top w:val="single" w:color="auto" w:sz="4" w:space="0"/>
              <w:left w:val="nil"/>
              <w:bottom w:val="single" w:color="auto" w:sz="8" w:space="0"/>
              <w:right w:val="single" w:color="000000" w:sz="4" w:space="0"/>
            </w:tcBorders>
            <w:vAlign w:val="center"/>
          </w:tcPr>
          <w:p>
            <w:pPr>
              <w:jc w:val="center"/>
              <w:rPr>
                <w:rFonts w:ascii="宋体" w:hAnsi="宋体" w:cs="宋体"/>
                <w:kern w:val="0"/>
                <w:sz w:val="24"/>
              </w:rPr>
            </w:pPr>
            <w:r>
              <w:rPr>
                <w:rFonts w:hint="eastAsia" w:ascii="宋体" w:hAnsi="宋体" w:cs="宋体"/>
                <w:kern w:val="0"/>
                <w:sz w:val="24"/>
              </w:rPr>
              <w:t>　</w:t>
            </w:r>
          </w:p>
        </w:tc>
        <w:tc>
          <w:tcPr>
            <w:tcW w:w="950" w:type="dxa"/>
            <w:tcBorders>
              <w:top w:val="single" w:color="auto" w:sz="4" w:space="0"/>
              <w:left w:val="nil"/>
              <w:bottom w:val="single" w:color="auto" w:sz="8" w:space="0"/>
              <w:right w:val="single" w:color="auto" w:sz="4" w:space="0"/>
            </w:tcBorders>
            <w:noWrap/>
            <w:vAlign w:val="center"/>
          </w:tcPr>
          <w:p>
            <w:pPr>
              <w:jc w:val="center"/>
              <w:rPr>
                <w:rFonts w:ascii="宋体" w:hAnsi="宋体" w:cs="宋体"/>
                <w:kern w:val="0"/>
                <w:sz w:val="24"/>
              </w:rPr>
            </w:pPr>
            <w:r>
              <w:rPr>
                <w:rFonts w:hint="eastAsia" w:ascii="宋体" w:hAnsi="宋体" w:cs="宋体"/>
                <w:kern w:val="0"/>
                <w:sz w:val="24"/>
              </w:rPr>
              <w:t xml:space="preserve"> 分</w:t>
            </w:r>
          </w:p>
        </w:tc>
        <w:tc>
          <w:tcPr>
            <w:tcW w:w="2410" w:type="dxa"/>
            <w:tcBorders>
              <w:top w:val="single" w:color="auto" w:sz="4" w:space="0"/>
              <w:left w:val="nil"/>
              <w:bottom w:val="single" w:color="auto" w:sz="8" w:space="0"/>
              <w:right w:val="single" w:color="auto" w:sz="4" w:space="0"/>
            </w:tcBorders>
            <w:vAlign w:val="center"/>
          </w:tcPr>
          <w:p>
            <w:pPr>
              <w:jc w:val="center"/>
              <w:rPr>
                <w:rFonts w:ascii="宋体" w:hAnsi="宋体" w:cs="宋体"/>
                <w:kern w:val="0"/>
                <w:sz w:val="24"/>
              </w:rPr>
            </w:pPr>
            <w:r>
              <w:rPr>
                <w:rFonts w:hint="eastAsia" w:ascii="宋体" w:hAnsi="宋体" w:cs="宋体"/>
                <w:kern w:val="0"/>
                <w:sz w:val="24"/>
              </w:rPr>
              <w:t>　</w:t>
            </w:r>
          </w:p>
        </w:tc>
        <w:tc>
          <w:tcPr>
            <w:tcW w:w="1701" w:type="dxa"/>
            <w:tcBorders>
              <w:top w:val="single" w:color="auto" w:sz="4" w:space="0"/>
              <w:left w:val="nil"/>
              <w:bottom w:val="single" w:color="auto" w:sz="8" w:space="0"/>
              <w:right w:val="single" w:color="auto" w:sz="4" w:space="0"/>
            </w:tcBorders>
            <w:noWrap/>
            <w:vAlign w:val="center"/>
          </w:tcPr>
          <w:p>
            <w:pPr>
              <w:jc w:val="center"/>
              <w:rPr>
                <w:rFonts w:ascii="宋体" w:hAnsi="宋体" w:cs="宋体"/>
                <w:kern w:val="0"/>
                <w:sz w:val="24"/>
              </w:rPr>
            </w:pPr>
            <w:r>
              <w:rPr>
                <w:rFonts w:hint="eastAsia" w:ascii="宋体" w:hAnsi="宋体" w:cs="宋体"/>
                <w:kern w:val="0"/>
                <w:sz w:val="24"/>
              </w:rPr>
              <w:t>　</w:t>
            </w:r>
          </w:p>
        </w:tc>
        <w:tc>
          <w:tcPr>
            <w:tcW w:w="992" w:type="dxa"/>
            <w:tcBorders>
              <w:top w:val="single" w:color="auto" w:sz="4" w:space="0"/>
              <w:left w:val="nil"/>
              <w:bottom w:val="single" w:color="auto" w:sz="8" w:space="0"/>
              <w:right w:val="single" w:color="auto" w:sz="8" w:space="0"/>
            </w:tcBorders>
            <w:noWrap/>
            <w:vAlign w:val="center"/>
          </w:tcPr>
          <w:p>
            <w:pPr>
              <w:jc w:val="center"/>
              <w:rPr>
                <w:rFonts w:ascii="宋体" w:hAnsi="宋体" w:cs="宋体"/>
                <w:kern w:val="0"/>
                <w:sz w:val="24"/>
              </w:rPr>
            </w:pPr>
            <w:r>
              <w:rPr>
                <w:rFonts w:hint="eastAsia" w:ascii="宋体" w:hAnsi="宋体" w:cs="宋体"/>
                <w:kern w:val="0"/>
                <w:sz w:val="24"/>
              </w:rPr>
              <w:t>　</w:t>
            </w:r>
          </w:p>
        </w:tc>
      </w:tr>
    </w:tbl>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szCs w:val="21"/>
        </w:rPr>
      </w:pPr>
      <w:r>
        <w:rPr>
          <w:rFonts w:hint="eastAsia" w:ascii="宋体" w:hAnsi="宋体" w:cs="宋体"/>
          <w:szCs w:val="21"/>
        </w:rPr>
        <w:t>附件3</w:t>
      </w:r>
    </w:p>
    <w:p>
      <w:pPr>
        <w:rPr>
          <w:rFonts w:ascii="宋体" w:hAnsi="宋体" w:cs="宋体"/>
          <w:sz w:val="36"/>
          <w:szCs w:val="36"/>
        </w:rPr>
      </w:pPr>
    </w:p>
    <w:p>
      <w:pPr>
        <w:rPr>
          <w:rFonts w:ascii="宋体" w:hAnsi="宋体" w:cs="宋体"/>
          <w:sz w:val="36"/>
          <w:szCs w:val="36"/>
        </w:rPr>
      </w:pPr>
      <w:r>
        <w:rPr>
          <w:rFonts w:hint="eastAsia" w:ascii="宋体" w:hAnsi="宋体" w:cs="宋体"/>
          <w:sz w:val="36"/>
          <w:szCs w:val="36"/>
        </w:rPr>
        <w:t xml:space="preserve"> 河南省土地估价机构资信评定廉政和保密承诺书</w:t>
      </w:r>
    </w:p>
    <w:p>
      <w:pPr>
        <w:rPr>
          <w:rFonts w:ascii="宋体" w:hAnsi="宋体" w:cs="宋体"/>
          <w:sz w:val="28"/>
          <w:szCs w:val="28"/>
        </w:rPr>
      </w:pPr>
    </w:p>
    <w:p>
      <w:pPr>
        <w:rPr>
          <w:rFonts w:ascii="宋体" w:hAnsi="宋体" w:cs="宋体"/>
          <w:sz w:val="28"/>
          <w:szCs w:val="28"/>
        </w:rPr>
      </w:pPr>
      <w:r>
        <w:rPr>
          <w:rFonts w:hint="eastAsia" w:ascii="宋体" w:hAnsi="宋体" w:cs="宋体"/>
          <w:sz w:val="28"/>
          <w:szCs w:val="28"/>
        </w:rPr>
        <w:t>我承诺：</w:t>
      </w:r>
    </w:p>
    <w:p>
      <w:pPr>
        <w:rPr>
          <w:rFonts w:ascii="宋体" w:hAnsi="宋体" w:cs="宋体"/>
          <w:sz w:val="28"/>
          <w:szCs w:val="28"/>
        </w:rPr>
      </w:pPr>
      <w:r>
        <w:rPr>
          <w:rFonts w:hint="eastAsia" w:ascii="宋体" w:hAnsi="宋体" w:cs="宋体"/>
          <w:sz w:val="28"/>
          <w:szCs w:val="28"/>
        </w:rPr>
        <w:t xml:space="preserve">    在参加河南省土地估价机构资信评定工作中，我保证做到：</w:t>
      </w:r>
    </w:p>
    <w:p>
      <w:pPr>
        <w:rPr>
          <w:rFonts w:ascii="宋体" w:hAnsi="宋体" w:cs="宋体"/>
          <w:sz w:val="28"/>
          <w:szCs w:val="28"/>
        </w:rPr>
      </w:pPr>
      <w:r>
        <w:rPr>
          <w:rFonts w:hint="eastAsia" w:ascii="宋体" w:hAnsi="宋体" w:cs="宋体"/>
          <w:sz w:val="28"/>
          <w:szCs w:val="28"/>
        </w:rPr>
        <w:t xml:space="preserve">    一、客观、公正参加本次资信评定工作；</w:t>
      </w:r>
    </w:p>
    <w:p>
      <w:pPr>
        <w:rPr>
          <w:rFonts w:ascii="宋体" w:hAnsi="宋体" w:cs="宋体"/>
          <w:sz w:val="28"/>
          <w:szCs w:val="28"/>
        </w:rPr>
      </w:pPr>
      <w:r>
        <w:rPr>
          <w:rFonts w:hint="eastAsia" w:ascii="宋体" w:hAnsi="宋体" w:cs="宋体"/>
          <w:sz w:val="28"/>
          <w:szCs w:val="28"/>
        </w:rPr>
        <w:t xml:space="preserve">    二、杜绝收受任何机构和人员的礼品礼金、有价证券等；</w:t>
      </w:r>
    </w:p>
    <w:p>
      <w:pPr>
        <w:rPr>
          <w:rFonts w:ascii="宋体" w:hAnsi="宋体" w:cs="宋体"/>
          <w:sz w:val="28"/>
          <w:szCs w:val="28"/>
        </w:rPr>
      </w:pPr>
      <w:r>
        <w:rPr>
          <w:rFonts w:hint="eastAsia" w:ascii="宋体" w:hAnsi="宋体" w:cs="宋体"/>
          <w:sz w:val="28"/>
          <w:szCs w:val="28"/>
        </w:rPr>
        <w:t xml:space="preserve">    三、不参加任何机构和人员组织的宴请、娱乐活动等；</w:t>
      </w:r>
    </w:p>
    <w:p>
      <w:pPr>
        <w:rPr>
          <w:rFonts w:ascii="宋体" w:hAnsi="宋体" w:cs="宋体"/>
          <w:sz w:val="28"/>
          <w:szCs w:val="28"/>
        </w:rPr>
      </w:pPr>
      <w:r>
        <w:rPr>
          <w:rFonts w:hint="eastAsia" w:ascii="宋体" w:hAnsi="宋体" w:cs="宋体"/>
          <w:sz w:val="28"/>
          <w:szCs w:val="28"/>
        </w:rPr>
        <w:t xml:space="preserve">    三、不让任何机构和人员报销各种消费凭证；</w:t>
      </w:r>
    </w:p>
    <w:p>
      <w:pPr>
        <w:spacing w:line="360" w:lineRule="auto"/>
        <w:ind w:firstLine="420" w:firstLineChars="150"/>
        <w:rPr>
          <w:rFonts w:ascii="宋体" w:hAnsi="宋体" w:cs="宋体"/>
          <w:sz w:val="28"/>
          <w:szCs w:val="28"/>
        </w:rPr>
      </w:pPr>
      <w:r>
        <w:rPr>
          <w:rFonts w:hint="eastAsia" w:ascii="宋体" w:hAnsi="宋体" w:cs="宋体"/>
          <w:sz w:val="28"/>
          <w:szCs w:val="28"/>
        </w:rPr>
        <w:t xml:space="preserve"> 四、严格遵守资信评定工作有关保密规定； </w:t>
      </w:r>
    </w:p>
    <w:p>
      <w:pPr>
        <w:spacing w:line="360" w:lineRule="auto"/>
        <w:ind w:firstLine="140" w:firstLineChars="50"/>
        <w:rPr>
          <w:rFonts w:ascii="宋体" w:hAnsi="宋体" w:cs="宋体"/>
          <w:sz w:val="28"/>
          <w:szCs w:val="28"/>
        </w:rPr>
      </w:pPr>
      <w:r>
        <w:rPr>
          <w:rFonts w:hint="eastAsia" w:ascii="宋体" w:hAnsi="宋体" w:cs="宋体"/>
          <w:sz w:val="28"/>
          <w:szCs w:val="28"/>
        </w:rPr>
        <w:t>　 五、严格保守参评机构和人员的商业秘密。 　</w:t>
      </w:r>
    </w:p>
    <w:p>
      <w:pPr>
        <w:rPr>
          <w:rFonts w:ascii="宋体" w:hAnsi="宋体" w:cs="宋体"/>
          <w:sz w:val="28"/>
          <w:szCs w:val="28"/>
        </w:rPr>
      </w:pPr>
    </w:p>
    <w:p>
      <w:pPr>
        <w:rPr>
          <w:rFonts w:ascii="宋体" w:hAnsi="宋体" w:cs="宋体"/>
          <w:sz w:val="28"/>
          <w:szCs w:val="28"/>
        </w:rPr>
      </w:pPr>
      <w:r>
        <w:rPr>
          <w:rFonts w:hint="eastAsia" w:ascii="宋体" w:hAnsi="宋体" w:cs="宋体"/>
          <w:sz w:val="28"/>
          <w:szCs w:val="28"/>
        </w:rPr>
        <w:t xml:space="preserve">    违反上述承诺，我愿意接受按照国家法律法规等有关规定给予的处分。</w:t>
      </w:r>
    </w:p>
    <w:p>
      <w:pPr>
        <w:rPr>
          <w:rFonts w:ascii="宋体" w:hAnsi="宋体" w:cs="宋体"/>
          <w:sz w:val="28"/>
          <w:szCs w:val="28"/>
        </w:rPr>
      </w:pPr>
    </w:p>
    <w:p>
      <w:pPr>
        <w:jc w:val="left"/>
        <w:rPr>
          <w:rFonts w:ascii="宋体" w:hAnsi="宋体" w:cs="宋体"/>
          <w:sz w:val="28"/>
          <w:szCs w:val="28"/>
        </w:rPr>
      </w:pPr>
      <w:r>
        <w:rPr>
          <w:rFonts w:hint="eastAsia" w:ascii="宋体" w:hAnsi="宋体" w:cs="宋体"/>
          <w:sz w:val="28"/>
          <w:szCs w:val="28"/>
        </w:rPr>
        <w:t xml:space="preserve">   </w:t>
      </w:r>
      <w:r>
        <w:rPr>
          <w:rFonts w:ascii="宋体" w:hAnsi="宋体" w:cs="宋体"/>
          <w:sz w:val="28"/>
          <w:szCs w:val="28"/>
        </w:rPr>
        <w:t xml:space="preserve">                                 </w:t>
      </w:r>
      <w:r>
        <w:rPr>
          <w:rFonts w:hint="eastAsia" w:ascii="宋体" w:hAnsi="宋体" w:cs="宋体"/>
          <w:sz w:val="28"/>
          <w:szCs w:val="28"/>
        </w:rPr>
        <w:t xml:space="preserve">承诺人（签名）：                  </w:t>
      </w:r>
    </w:p>
    <w:p>
      <w:pPr>
        <w:rPr>
          <w:rFonts w:ascii="宋体" w:hAnsi="宋体" w:cs="宋体"/>
          <w:sz w:val="28"/>
          <w:szCs w:val="28"/>
        </w:rPr>
      </w:pPr>
      <w:r>
        <w:rPr>
          <w:rFonts w:hint="eastAsia" w:ascii="宋体" w:hAnsi="宋体" w:cs="宋体"/>
          <w:sz w:val="28"/>
          <w:szCs w:val="28"/>
        </w:rPr>
        <w:t xml:space="preserve">              </w:t>
      </w:r>
    </w:p>
    <w:p>
      <w:pPr>
        <w:jc w:val="right"/>
        <w:rPr>
          <w:rFonts w:ascii="宋体" w:hAnsi="宋体" w:cs="宋体"/>
          <w:sz w:val="28"/>
          <w:szCs w:val="28"/>
        </w:rPr>
      </w:pPr>
      <w:r>
        <w:rPr>
          <w:rFonts w:hint="eastAsia" w:ascii="宋体" w:hAnsi="宋体" w:cs="宋体"/>
          <w:sz w:val="28"/>
          <w:szCs w:val="28"/>
        </w:rPr>
        <w:t xml:space="preserve">                                   年    月    日</w:t>
      </w:r>
    </w:p>
    <w:p>
      <w:pPr>
        <w:ind w:firstLine="570"/>
        <w:rPr>
          <w:rFonts w:ascii="宋体" w:hAnsi="宋体" w:cs="宋体"/>
          <w:sz w:val="28"/>
          <w:szCs w:val="28"/>
        </w:rPr>
      </w:pPr>
    </w:p>
    <w:p>
      <w:pPr>
        <w:spacing w:line="480" w:lineRule="auto"/>
        <w:jc w:val="left"/>
        <w:rPr>
          <w:rFonts w:ascii="宋体" w:hAnsi="宋体"/>
          <w:sz w:val="28"/>
          <w:szCs w:val="28"/>
        </w:rPr>
      </w:pPr>
    </w:p>
    <w:sectPr>
      <w:headerReference r:id="rId3" w:type="default"/>
      <w:footerReference r:id="rId4"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fldChar w:fldCharType="begin"/>
    </w:r>
    <w:r>
      <w:instrText xml:space="preserve">PAGE   \* MERGEFORMAT</w:instrText>
    </w:r>
    <w:r>
      <w:fldChar w:fldCharType="separate"/>
    </w:r>
    <w:r>
      <w:rPr>
        <w:lang w:val="zh-CN"/>
      </w:rPr>
      <w:t>2</w:t>
    </w:r>
    <w:r>
      <w:fldChar w:fldCharType="end"/>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zdjZDc4ZDU4Njk1OWRmODFiNTk1ODJiNDAxMzlhYjgifQ=="/>
  </w:docVars>
  <w:rsids>
    <w:rsidRoot w:val="00B8695A"/>
    <w:rsid w:val="00003ED9"/>
    <w:rsid w:val="00013F36"/>
    <w:rsid w:val="0001408E"/>
    <w:rsid w:val="0002431D"/>
    <w:rsid w:val="000251AC"/>
    <w:rsid w:val="00026E40"/>
    <w:rsid w:val="000270D5"/>
    <w:rsid w:val="00032300"/>
    <w:rsid w:val="00034190"/>
    <w:rsid w:val="000410E7"/>
    <w:rsid w:val="0004111C"/>
    <w:rsid w:val="00044ABC"/>
    <w:rsid w:val="000453D3"/>
    <w:rsid w:val="00047659"/>
    <w:rsid w:val="0005498C"/>
    <w:rsid w:val="00056A54"/>
    <w:rsid w:val="00056A7C"/>
    <w:rsid w:val="00057A9B"/>
    <w:rsid w:val="00062882"/>
    <w:rsid w:val="000632D6"/>
    <w:rsid w:val="00072E21"/>
    <w:rsid w:val="00073047"/>
    <w:rsid w:val="0007639A"/>
    <w:rsid w:val="000802F8"/>
    <w:rsid w:val="0008089E"/>
    <w:rsid w:val="00083E4C"/>
    <w:rsid w:val="00085471"/>
    <w:rsid w:val="000857B5"/>
    <w:rsid w:val="00087DCD"/>
    <w:rsid w:val="000924D8"/>
    <w:rsid w:val="000A0D3E"/>
    <w:rsid w:val="000A7126"/>
    <w:rsid w:val="000B0083"/>
    <w:rsid w:val="000C0D3D"/>
    <w:rsid w:val="000C5C25"/>
    <w:rsid w:val="000C62C0"/>
    <w:rsid w:val="000D0321"/>
    <w:rsid w:val="000D3261"/>
    <w:rsid w:val="000D4EDF"/>
    <w:rsid w:val="000D6618"/>
    <w:rsid w:val="000E4C74"/>
    <w:rsid w:val="000E4E23"/>
    <w:rsid w:val="000E5CA7"/>
    <w:rsid w:val="000E5D5B"/>
    <w:rsid w:val="00101B47"/>
    <w:rsid w:val="00103A2F"/>
    <w:rsid w:val="00104265"/>
    <w:rsid w:val="00104F61"/>
    <w:rsid w:val="001143A1"/>
    <w:rsid w:val="001148F5"/>
    <w:rsid w:val="00116172"/>
    <w:rsid w:val="001248E5"/>
    <w:rsid w:val="00131C27"/>
    <w:rsid w:val="00145AD9"/>
    <w:rsid w:val="00147895"/>
    <w:rsid w:val="00150280"/>
    <w:rsid w:val="0015407F"/>
    <w:rsid w:val="00162766"/>
    <w:rsid w:val="001705DB"/>
    <w:rsid w:val="001709C7"/>
    <w:rsid w:val="00176C31"/>
    <w:rsid w:val="00180C10"/>
    <w:rsid w:val="00184605"/>
    <w:rsid w:val="001971E9"/>
    <w:rsid w:val="001976C5"/>
    <w:rsid w:val="001A1496"/>
    <w:rsid w:val="001A3775"/>
    <w:rsid w:val="001A3BE0"/>
    <w:rsid w:val="001A7192"/>
    <w:rsid w:val="001B5715"/>
    <w:rsid w:val="001C0E7B"/>
    <w:rsid w:val="001C2ECA"/>
    <w:rsid w:val="001C3194"/>
    <w:rsid w:val="001C5598"/>
    <w:rsid w:val="001D48F0"/>
    <w:rsid w:val="001E2C2E"/>
    <w:rsid w:val="001E7056"/>
    <w:rsid w:val="001E72C4"/>
    <w:rsid w:val="001F69E6"/>
    <w:rsid w:val="0020026E"/>
    <w:rsid w:val="00202160"/>
    <w:rsid w:val="00204B5A"/>
    <w:rsid w:val="00205020"/>
    <w:rsid w:val="00213E2E"/>
    <w:rsid w:val="00231172"/>
    <w:rsid w:val="0023119F"/>
    <w:rsid w:val="00232D26"/>
    <w:rsid w:val="00245330"/>
    <w:rsid w:val="002453DC"/>
    <w:rsid w:val="00247024"/>
    <w:rsid w:val="00250A20"/>
    <w:rsid w:val="00256E80"/>
    <w:rsid w:val="00263D26"/>
    <w:rsid w:val="00266C40"/>
    <w:rsid w:val="00267B34"/>
    <w:rsid w:val="0027148D"/>
    <w:rsid w:val="00271F86"/>
    <w:rsid w:val="00276630"/>
    <w:rsid w:val="00282A57"/>
    <w:rsid w:val="00287D51"/>
    <w:rsid w:val="002927E7"/>
    <w:rsid w:val="002936DE"/>
    <w:rsid w:val="00295E5F"/>
    <w:rsid w:val="002B4ECE"/>
    <w:rsid w:val="002B5F96"/>
    <w:rsid w:val="002C160F"/>
    <w:rsid w:val="002C203C"/>
    <w:rsid w:val="002C286D"/>
    <w:rsid w:val="002C304F"/>
    <w:rsid w:val="002D31C5"/>
    <w:rsid w:val="002D3E32"/>
    <w:rsid w:val="002D46F5"/>
    <w:rsid w:val="002E51D7"/>
    <w:rsid w:val="002E53BC"/>
    <w:rsid w:val="002F06BD"/>
    <w:rsid w:val="002F7AA3"/>
    <w:rsid w:val="00302FEF"/>
    <w:rsid w:val="00305E73"/>
    <w:rsid w:val="00312C9B"/>
    <w:rsid w:val="003343DD"/>
    <w:rsid w:val="00335C13"/>
    <w:rsid w:val="00340761"/>
    <w:rsid w:val="003430D3"/>
    <w:rsid w:val="0034574A"/>
    <w:rsid w:val="00345E52"/>
    <w:rsid w:val="00350431"/>
    <w:rsid w:val="003522C3"/>
    <w:rsid w:val="003704D2"/>
    <w:rsid w:val="00371334"/>
    <w:rsid w:val="003733D4"/>
    <w:rsid w:val="00374468"/>
    <w:rsid w:val="0039111E"/>
    <w:rsid w:val="00394E2D"/>
    <w:rsid w:val="003B1BCB"/>
    <w:rsid w:val="003B4CD7"/>
    <w:rsid w:val="003C14CE"/>
    <w:rsid w:val="003C627D"/>
    <w:rsid w:val="003D2A72"/>
    <w:rsid w:val="003D3A6A"/>
    <w:rsid w:val="003D79D4"/>
    <w:rsid w:val="003E40E7"/>
    <w:rsid w:val="003E5A44"/>
    <w:rsid w:val="003F19E9"/>
    <w:rsid w:val="003F3024"/>
    <w:rsid w:val="003F66E4"/>
    <w:rsid w:val="00403320"/>
    <w:rsid w:val="00410AE3"/>
    <w:rsid w:val="00420A9A"/>
    <w:rsid w:val="00421EEB"/>
    <w:rsid w:val="00424BB8"/>
    <w:rsid w:val="0042525E"/>
    <w:rsid w:val="00431D6D"/>
    <w:rsid w:val="00437234"/>
    <w:rsid w:val="00465571"/>
    <w:rsid w:val="00467D75"/>
    <w:rsid w:val="004744A3"/>
    <w:rsid w:val="00474D48"/>
    <w:rsid w:val="00474F19"/>
    <w:rsid w:val="00484153"/>
    <w:rsid w:val="004843C0"/>
    <w:rsid w:val="00484B52"/>
    <w:rsid w:val="00484CD2"/>
    <w:rsid w:val="0048714D"/>
    <w:rsid w:val="00492DD9"/>
    <w:rsid w:val="004931F1"/>
    <w:rsid w:val="00494380"/>
    <w:rsid w:val="004963A0"/>
    <w:rsid w:val="004A3714"/>
    <w:rsid w:val="004A6B83"/>
    <w:rsid w:val="004B1C7C"/>
    <w:rsid w:val="004B62E2"/>
    <w:rsid w:val="004C661C"/>
    <w:rsid w:val="004D07D0"/>
    <w:rsid w:val="004D116B"/>
    <w:rsid w:val="004E1BC0"/>
    <w:rsid w:val="004E229B"/>
    <w:rsid w:val="004E45A5"/>
    <w:rsid w:val="004F6680"/>
    <w:rsid w:val="004F7320"/>
    <w:rsid w:val="004F7401"/>
    <w:rsid w:val="00502CDF"/>
    <w:rsid w:val="00504B11"/>
    <w:rsid w:val="0051212D"/>
    <w:rsid w:val="00515014"/>
    <w:rsid w:val="00515EAC"/>
    <w:rsid w:val="00516DD5"/>
    <w:rsid w:val="0052072D"/>
    <w:rsid w:val="00521017"/>
    <w:rsid w:val="005228EB"/>
    <w:rsid w:val="00522B1D"/>
    <w:rsid w:val="005232AC"/>
    <w:rsid w:val="00524063"/>
    <w:rsid w:val="00531A1E"/>
    <w:rsid w:val="00531F42"/>
    <w:rsid w:val="005369D8"/>
    <w:rsid w:val="00547718"/>
    <w:rsid w:val="0055546C"/>
    <w:rsid w:val="00556F30"/>
    <w:rsid w:val="0056177F"/>
    <w:rsid w:val="00565625"/>
    <w:rsid w:val="005714E7"/>
    <w:rsid w:val="005746D1"/>
    <w:rsid w:val="00583CC2"/>
    <w:rsid w:val="005908E3"/>
    <w:rsid w:val="00595631"/>
    <w:rsid w:val="005A23D0"/>
    <w:rsid w:val="005B4683"/>
    <w:rsid w:val="005C0B21"/>
    <w:rsid w:val="005C2158"/>
    <w:rsid w:val="005C7D60"/>
    <w:rsid w:val="005C7E01"/>
    <w:rsid w:val="005D2061"/>
    <w:rsid w:val="005E4D84"/>
    <w:rsid w:val="005F13AB"/>
    <w:rsid w:val="005F2037"/>
    <w:rsid w:val="005F37CE"/>
    <w:rsid w:val="005F6005"/>
    <w:rsid w:val="00603EA6"/>
    <w:rsid w:val="00605629"/>
    <w:rsid w:val="00624EE8"/>
    <w:rsid w:val="00625226"/>
    <w:rsid w:val="00632181"/>
    <w:rsid w:val="006330C9"/>
    <w:rsid w:val="006332E0"/>
    <w:rsid w:val="00643975"/>
    <w:rsid w:val="00645070"/>
    <w:rsid w:val="00646954"/>
    <w:rsid w:val="00646B69"/>
    <w:rsid w:val="006472B6"/>
    <w:rsid w:val="006538DC"/>
    <w:rsid w:val="00654FCE"/>
    <w:rsid w:val="006622F8"/>
    <w:rsid w:val="00670E29"/>
    <w:rsid w:val="006737EC"/>
    <w:rsid w:val="00687CFF"/>
    <w:rsid w:val="00693098"/>
    <w:rsid w:val="00694767"/>
    <w:rsid w:val="006A7DE9"/>
    <w:rsid w:val="006B05FA"/>
    <w:rsid w:val="006B0903"/>
    <w:rsid w:val="006B55D2"/>
    <w:rsid w:val="006C1741"/>
    <w:rsid w:val="006C2C4F"/>
    <w:rsid w:val="006C60AD"/>
    <w:rsid w:val="006D6D6B"/>
    <w:rsid w:val="006D7EE4"/>
    <w:rsid w:val="006F4E94"/>
    <w:rsid w:val="006F5F00"/>
    <w:rsid w:val="00700C0B"/>
    <w:rsid w:val="00701F91"/>
    <w:rsid w:val="00711E2A"/>
    <w:rsid w:val="007179A1"/>
    <w:rsid w:val="00730D48"/>
    <w:rsid w:val="007413F7"/>
    <w:rsid w:val="00747D09"/>
    <w:rsid w:val="0076142E"/>
    <w:rsid w:val="007656DE"/>
    <w:rsid w:val="00770C10"/>
    <w:rsid w:val="00773855"/>
    <w:rsid w:val="00783528"/>
    <w:rsid w:val="007843C9"/>
    <w:rsid w:val="00790E3F"/>
    <w:rsid w:val="00793258"/>
    <w:rsid w:val="007A2032"/>
    <w:rsid w:val="007A223B"/>
    <w:rsid w:val="007A2E90"/>
    <w:rsid w:val="007B13E1"/>
    <w:rsid w:val="007B144A"/>
    <w:rsid w:val="007B2D9F"/>
    <w:rsid w:val="007C1D24"/>
    <w:rsid w:val="007C5174"/>
    <w:rsid w:val="007E1AAA"/>
    <w:rsid w:val="007F2988"/>
    <w:rsid w:val="007F5510"/>
    <w:rsid w:val="00801078"/>
    <w:rsid w:val="00802307"/>
    <w:rsid w:val="00804857"/>
    <w:rsid w:val="00805F05"/>
    <w:rsid w:val="008125C8"/>
    <w:rsid w:val="00815B6B"/>
    <w:rsid w:val="008216B3"/>
    <w:rsid w:val="0082184C"/>
    <w:rsid w:val="0082533C"/>
    <w:rsid w:val="00827555"/>
    <w:rsid w:val="008321CD"/>
    <w:rsid w:val="008325BA"/>
    <w:rsid w:val="008447D4"/>
    <w:rsid w:val="008554ED"/>
    <w:rsid w:val="00857416"/>
    <w:rsid w:val="00867E27"/>
    <w:rsid w:val="00872199"/>
    <w:rsid w:val="00883AC3"/>
    <w:rsid w:val="008915A4"/>
    <w:rsid w:val="00891F65"/>
    <w:rsid w:val="00893A8B"/>
    <w:rsid w:val="0089408E"/>
    <w:rsid w:val="00897A76"/>
    <w:rsid w:val="008A01E6"/>
    <w:rsid w:val="008A5782"/>
    <w:rsid w:val="008A5977"/>
    <w:rsid w:val="008B1B6D"/>
    <w:rsid w:val="008B4DF3"/>
    <w:rsid w:val="008C2A33"/>
    <w:rsid w:val="008C6D27"/>
    <w:rsid w:val="008D37D4"/>
    <w:rsid w:val="008D54A3"/>
    <w:rsid w:val="008D7602"/>
    <w:rsid w:val="008E305C"/>
    <w:rsid w:val="008E7043"/>
    <w:rsid w:val="00901B75"/>
    <w:rsid w:val="00904F83"/>
    <w:rsid w:val="0091228D"/>
    <w:rsid w:val="009331F4"/>
    <w:rsid w:val="009426A9"/>
    <w:rsid w:val="0094316A"/>
    <w:rsid w:val="009474DF"/>
    <w:rsid w:val="009507FC"/>
    <w:rsid w:val="009574D7"/>
    <w:rsid w:val="00962122"/>
    <w:rsid w:val="00963446"/>
    <w:rsid w:val="00974B03"/>
    <w:rsid w:val="00984231"/>
    <w:rsid w:val="0098487E"/>
    <w:rsid w:val="009871CD"/>
    <w:rsid w:val="00987AED"/>
    <w:rsid w:val="00994123"/>
    <w:rsid w:val="00995198"/>
    <w:rsid w:val="009A6964"/>
    <w:rsid w:val="009B04AA"/>
    <w:rsid w:val="009C6F13"/>
    <w:rsid w:val="009D0D02"/>
    <w:rsid w:val="009D1F48"/>
    <w:rsid w:val="009D746C"/>
    <w:rsid w:val="009D7D59"/>
    <w:rsid w:val="009E2DCE"/>
    <w:rsid w:val="009F379F"/>
    <w:rsid w:val="009F41DF"/>
    <w:rsid w:val="009F7037"/>
    <w:rsid w:val="009F74F5"/>
    <w:rsid w:val="00A030A0"/>
    <w:rsid w:val="00A060E3"/>
    <w:rsid w:val="00A126D5"/>
    <w:rsid w:val="00A1468F"/>
    <w:rsid w:val="00A1548A"/>
    <w:rsid w:val="00A206F2"/>
    <w:rsid w:val="00A26B10"/>
    <w:rsid w:val="00A35E45"/>
    <w:rsid w:val="00A545B2"/>
    <w:rsid w:val="00A61A04"/>
    <w:rsid w:val="00A67CAC"/>
    <w:rsid w:val="00A75373"/>
    <w:rsid w:val="00A753AE"/>
    <w:rsid w:val="00A757DB"/>
    <w:rsid w:val="00A868D9"/>
    <w:rsid w:val="00A86C9D"/>
    <w:rsid w:val="00A90AE5"/>
    <w:rsid w:val="00A91C6F"/>
    <w:rsid w:val="00A9286A"/>
    <w:rsid w:val="00A9492B"/>
    <w:rsid w:val="00A97DF9"/>
    <w:rsid w:val="00AA628D"/>
    <w:rsid w:val="00AA64C9"/>
    <w:rsid w:val="00AB1E1F"/>
    <w:rsid w:val="00AB28E7"/>
    <w:rsid w:val="00AB785A"/>
    <w:rsid w:val="00AC3C2F"/>
    <w:rsid w:val="00AD2A16"/>
    <w:rsid w:val="00AD3E12"/>
    <w:rsid w:val="00AE2BB5"/>
    <w:rsid w:val="00AF3835"/>
    <w:rsid w:val="00AF40E9"/>
    <w:rsid w:val="00B00C20"/>
    <w:rsid w:val="00B01B7E"/>
    <w:rsid w:val="00B024CC"/>
    <w:rsid w:val="00B07119"/>
    <w:rsid w:val="00B072FC"/>
    <w:rsid w:val="00B12336"/>
    <w:rsid w:val="00B1362A"/>
    <w:rsid w:val="00B13D3E"/>
    <w:rsid w:val="00B1667C"/>
    <w:rsid w:val="00B21938"/>
    <w:rsid w:val="00B24C1C"/>
    <w:rsid w:val="00B276C3"/>
    <w:rsid w:val="00B346D1"/>
    <w:rsid w:val="00B34811"/>
    <w:rsid w:val="00B371E4"/>
    <w:rsid w:val="00B41E66"/>
    <w:rsid w:val="00B453AE"/>
    <w:rsid w:val="00B57885"/>
    <w:rsid w:val="00B60362"/>
    <w:rsid w:val="00B65487"/>
    <w:rsid w:val="00B657F9"/>
    <w:rsid w:val="00B65D85"/>
    <w:rsid w:val="00B76BA5"/>
    <w:rsid w:val="00B76C26"/>
    <w:rsid w:val="00B8029F"/>
    <w:rsid w:val="00B83089"/>
    <w:rsid w:val="00B8695A"/>
    <w:rsid w:val="00B8788F"/>
    <w:rsid w:val="00B94864"/>
    <w:rsid w:val="00BA037C"/>
    <w:rsid w:val="00BA06BB"/>
    <w:rsid w:val="00BA0F6B"/>
    <w:rsid w:val="00BA2E32"/>
    <w:rsid w:val="00BA3EC6"/>
    <w:rsid w:val="00BA47E1"/>
    <w:rsid w:val="00BC0E3F"/>
    <w:rsid w:val="00BC1A07"/>
    <w:rsid w:val="00BC5D67"/>
    <w:rsid w:val="00BD217C"/>
    <w:rsid w:val="00BD76E5"/>
    <w:rsid w:val="00BD793F"/>
    <w:rsid w:val="00BD7B19"/>
    <w:rsid w:val="00BE0CC6"/>
    <w:rsid w:val="00BE1832"/>
    <w:rsid w:val="00BE33CC"/>
    <w:rsid w:val="00BE3B50"/>
    <w:rsid w:val="00BE5F24"/>
    <w:rsid w:val="00BE70C2"/>
    <w:rsid w:val="00BF10D5"/>
    <w:rsid w:val="00BF31C8"/>
    <w:rsid w:val="00C060B1"/>
    <w:rsid w:val="00C0682A"/>
    <w:rsid w:val="00C12B06"/>
    <w:rsid w:val="00C13699"/>
    <w:rsid w:val="00C17E8F"/>
    <w:rsid w:val="00C20199"/>
    <w:rsid w:val="00C21039"/>
    <w:rsid w:val="00C212E2"/>
    <w:rsid w:val="00C22304"/>
    <w:rsid w:val="00C245E3"/>
    <w:rsid w:val="00C256C2"/>
    <w:rsid w:val="00C31B82"/>
    <w:rsid w:val="00C32285"/>
    <w:rsid w:val="00C33F53"/>
    <w:rsid w:val="00C35048"/>
    <w:rsid w:val="00C40393"/>
    <w:rsid w:val="00C52AC6"/>
    <w:rsid w:val="00C52C4A"/>
    <w:rsid w:val="00C617C7"/>
    <w:rsid w:val="00C67BEC"/>
    <w:rsid w:val="00C72474"/>
    <w:rsid w:val="00C72A9C"/>
    <w:rsid w:val="00C73029"/>
    <w:rsid w:val="00C77142"/>
    <w:rsid w:val="00C81311"/>
    <w:rsid w:val="00C82CA0"/>
    <w:rsid w:val="00C90096"/>
    <w:rsid w:val="00CA1B62"/>
    <w:rsid w:val="00CA586B"/>
    <w:rsid w:val="00CB555D"/>
    <w:rsid w:val="00CC4751"/>
    <w:rsid w:val="00CD441B"/>
    <w:rsid w:val="00CE0705"/>
    <w:rsid w:val="00CE17F9"/>
    <w:rsid w:val="00CE255E"/>
    <w:rsid w:val="00CE3397"/>
    <w:rsid w:val="00CF564B"/>
    <w:rsid w:val="00CF6917"/>
    <w:rsid w:val="00D1085B"/>
    <w:rsid w:val="00D134F5"/>
    <w:rsid w:val="00D14C7A"/>
    <w:rsid w:val="00D1523B"/>
    <w:rsid w:val="00D15D91"/>
    <w:rsid w:val="00D21BE7"/>
    <w:rsid w:val="00D31103"/>
    <w:rsid w:val="00D42F81"/>
    <w:rsid w:val="00D444F0"/>
    <w:rsid w:val="00D50647"/>
    <w:rsid w:val="00D63B9A"/>
    <w:rsid w:val="00D647ED"/>
    <w:rsid w:val="00D651CB"/>
    <w:rsid w:val="00D70883"/>
    <w:rsid w:val="00D73CA0"/>
    <w:rsid w:val="00D746B9"/>
    <w:rsid w:val="00D748A8"/>
    <w:rsid w:val="00D754EA"/>
    <w:rsid w:val="00D9103D"/>
    <w:rsid w:val="00D91B3F"/>
    <w:rsid w:val="00D96DC9"/>
    <w:rsid w:val="00DA66E3"/>
    <w:rsid w:val="00DB4E32"/>
    <w:rsid w:val="00DB588E"/>
    <w:rsid w:val="00DB6BC4"/>
    <w:rsid w:val="00DC34EC"/>
    <w:rsid w:val="00DC3729"/>
    <w:rsid w:val="00DC7B1D"/>
    <w:rsid w:val="00DC7F82"/>
    <w:rsid w:val="00DE171E"/>
    <w:rsid w:val="00DE3D34"/>
    <w:rsid w:val="00DE5B42"/>
    <w:rsid w:val="00DE7A55"/>
    <w:rsid w:val="00DF3930"/>
    <w:rsid w:val="00DF6939"/>
    <w:rsid w:val="00E00300"/>
    <w:rsid w:val="00E03B34"/>
    <w:rsid w:val="00E06B28"/>
    <w:rsid w:val="00E13D09"/>
    <w:rsid w:val="00E167B9"/>
    <w:rsid w:val="00E20091"/>
    <w:rsid w:val="00E26436"/>
    <w:rsid w:val="00E33316"/>
    <w:rsid w:val="00E37FAC"/>
    <w:rsid w:val="00E42916"/>
    <w:rsid w:val="00E42DDE"/>
    <w:rsid w:val="00E551F1"/>
    <w:rsid w:val="00E559C2"/>
    <w:rsid w:val="00E55E65"/>
    <w:rsid w:val="00E66F90"/>
    <w:rsid w:val="00E70167"/>
    <w:rsid w:val="00E709BD"/>
    <w:rsid w:val="00E75D4B"/>
    <w:rsid w:val="00E8200A"/>
    <w:rsid w:val="00E87282"/>
    <w:rsid w:val="00E92FC6"/>
    <w:rsid w:val="00E9337F"/>
    <w:rsid w:val="00E956B2"/>
    <w:rsid w:val="00E96F0B"/>
    <w:rsid w:val="00EA0BBC"/>
    <w:rsid w:val="00EA25B4"/>
    <w:rsid w:val="00EA2CE4"/>
    <w:rsid w:val="00EA3F7A"/>
    <w:rsid w:val="00EB2D4C"/>
    <w:rsid w:val="00EB7A51"/>
    <w:rsid w:val="00EC28A8"/>
    <w:rsid w:val="00EC28D6"/>
    <w:rsid w:val="00EC3F08"/>
    <w:rsid w:val="00ED0750"/>
    <w:rsid w:val="00ED2E9B"/>
    <w:rsid w:val="00ED3C5A"/>
    <w:rsid w:val="00ED4465"/>
    <w:rsid w:val="00EE1FD6"/>
    <w:rsid w:val="00EE2770"/>
    <w:rsid w:val="00EF1340"/>
    <w:rsid w:val="00EF3641"/>
    <w:rsid w:val="00EF464B"/>
    <w:rsid w:val="00F049AC"/>
    <w:rsid w:val="00F10016"/>
    <w:rsid w:val="00F14904"/>
    <w:rsid w:val="00F16200"/>
    <w:rsid w:val="00F163C5"/>
    <w:rsid w:val="00F26378"/>
    <w:rsid w:val="00F26532"/>
    <w:rsid w:val="00F361E6"/>
    <w:rsid w:val="00F365AB"/>
    <w:rsid w:val="00F4001F"/>
    <w:rsid w:val="00F4031D"/>
    <w:rsid w:val="00F41406"/>
    <w:rsid w:val="00F432A6"/>
    <w:rsid w:val="00F4479D"/>
    <w:rsid w:val="00F45321"/>
    <w:rsid w:val="00F4672E"/>
    <w:rsid w:val="00F50B24"/>
    <w:rsid w:val="00F50D90"/>
    <w:rsid w:val="00F877AE"/>
    <w:rsid w:val="00F9213A"/>
    <w:rsid w:val="00F97425"/>
    <w:rsid w:val="00FB02C6"/>
    <w:rsid w:val="00FB33C8"/>
    <w:rsid w:val="00FB4F3C"/>
    <w:rsid w:val="00FB7417"/>
    <w:rsid w:val="00FC1988"/>
    <w:rsid w:val="00FC3B63"/>
    <w:rsid w:val="00FC3DA0"/>
    <w:rsid w:val="00FC6648"/>
    <w:rsid w:val="00FD2EB6"/>
    <w:rsid w:val="00FD531B"/>
    <w:rsid w:val="00FD66D4"/>
    <w:rsid w:val="00FE0105"/>
    <w:rsid w:val="00FE0B0A"/>
    <w:rsid w:val="00FE0B86"/>
    <w:rsid w:val="00FE3226"/>
    <w:rsid w:val="00FE3FDF"/>
    <w:rsid w:val="00FF483B"/>
    <w:rsid w:val="00FF48E0"/>
    <w:rsid w:val="062D41BD"/>
    <w:rsid w:val="0DF5661D"/>
    <w:rsid w:val="0E362232"/>
    <w:rsid w:val="0E7D55D5"/>
    <w:rsid w:val="0FE9746A"/>
    <w:rsid w:val="11FA0D05"/>
    <w:rsid w:val="12E859A1"/>
    <w:rsid w:val="17677205"/>
    <w:rsid w:val="2135331B"/>
    <w:rsid w:val="32EC39BD"/>
    <w:rsid w:val="361C68BA"/>
    <w:rsid w:val="39F065C9"/>
    <w:rsid w:val="478C149A"/>
    <w:rsid w:val="47AA7A65"/>
    <w:rsid w:val="4F7A1F01"/>
    <w:rsid w:val="67986332"/>
    <w:rsid w:val="72DA5DAF"/>
    <w:rsid w:val="73D537F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6"/>
    <w:semiHidden/>
    <w:qFormat/>
    <w:uiPriority w:val="99"/>
    <w:pPr>
      <w:jc w:val="left"/>
    </w:pPr>
  </w:style>
  <w:style w:type="paragraph" w:styleId="3">
    <w:name w:val="Date"/>
    <w:basedOn w:val="1"/>
    <w:next w:val="1"/>
    <w:link w:val="19"/>
    <w:semiHidden/>
    <w:qFormat/>
    <w:uiPriority w:val="99"/>
    <w:pPr>
      <w:ind w:left="100" w:leftChars="2500"/>
    </w:pPr>
  </w:style>
  <w:style w:type="paragraph" w:styleId="4">
    <w:name w:val="Balloon Text"/>
    <w:basedOn w:val="1"/>
    <w:link w:val="18"/>
    <w:semiHidden/>
    <w:qFormat/>
    <w:uiPriority w:val="99"/>
    <w:rPr>
      <w:sz w:val="18"/>
      <w:szCs w:val="18"/>
    </w:rPr>
  </w:style>
  <w:style w:type="paragraph" w:styleId="5">
    <w:name w:val="footer"/>
    <w:basedOn w:val="1"/>
    <w:link w:val="14"/>
    <w:qFormat/>
    <w:uiPriority w:val="99"/>
    <w:pPr>
      <w:tabs>
        <w:tab w:val="center" w:pos="4153"/>
        <w:tab w:val="right" w:pos="8306"/>
      </w:tabs>
      <w:snapToGrid w:val="0"/>
      <w:jc w:val="left"/>
    </w:pPr>
    <w:rPr>
      <w:sz w:val="18"/>
      <w:szCs w:val="18"/>
    </w:rPr>
  </w:style>
  <w:style w:type="paragraph" w:styleId="6">
    <w:name w:val="header"/>
    <w:basedOn w:val="1"/>
    <w:link w:val="13"/>
    <w:semiHidden/>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2"/>
    <w:next w:val="2"/>
    <w:link w:val="17"/>
    <w:semiHidden/>
    <w:qFormat/>
    <w:uiPriority w:val="99"/>
    <w:rPr>
      <w:b/>
      <w:bCs/>
    </w:rPr>
  </w:style>
  <w:style w:type="character" w:styleId="10">
    <w:name w:val="Strong"/>
    <w:qFormat/>
    <w:uiPriority w:val="99"/>
    <w:rPr>
      <w:rFonts w:cs="Times New Roman"/>
      <w:b/>
      <w:bCs/>
    </w:rPr>
  </w:style>
  <w:style w:type="character" w:styleId="11">
    <w:name w:val="Hyperlink"/>
    <w:unhideWhenUsed/>
    <w:qFormat/>
    <w:uiPriority w:val="99"/>
    <w:rPr>
      <w:color w:val="0000FF"/>
      <w:u w:val="single"/>
    </w:rPr>
  </w:style>
  <w:style w:type="character" w:styleId="12">
    <w:name w:val="annotation reference"/>
    <w:semiHidden/>
    <w:qFormat/>
    <w:uiPriority w:val="99"/>
    <w:rPr>
      <w:rFonts w:cs="Times New Roman"/>
      <w:sz w:val="21"/>
      <w:szCs w:val="21"/>
    </w:rPr>
  </w:style>
  <w:style w:type="character" w:customStyle="1" w:styleId="13">
    <w:name w:val="页眉 字符"/>
    <w:link w:val="6"/>
    <w:semiHidden/>
    <w:qFormat/>
    <w:locked/>
    <w:uiPriority w:val="99"/>
    <w:rPr>
      <w:rFonts w:ascii="Times New Roman" w:hAnsi="Times New Roman" w:eastAsia="宋体" w:cs="Times New Roman"/>
      <w:sz w:val="18"/>
      <w:szCs w:val="18"/>
    </w:rPr>
  </w:style>
  <w:style w:type="character" w:customStyle="1" w:styleId="14">
    <w:name w:val="页脚 字符"/>
    <w:link w:val="5"/>
    <w:qFormat/>
    <w:locked/>
    <w:uiPriority w:val="99"/>
    <w:rPr>
      <w:rFonts w:ascii="Times New Roman" w:hAnsi="Times New Roman" w:eastAsia="宋体" w:cs="Times New Roman"/>
      <w:sz w:val="18"/>
      <w:szCs w:val="18"/>
    </w:rPr>
  </w:style>
  <w:style w:type="paragraph" w:styleId="15">
    <w:name w:val="No Spacing"/>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16">
    <w:name w:val="批注文字 字符"/>
    <w:link w:val="2"/>
    <w:semiHidden/>
    <w:qFormat/>
    <w:locked/>
    <w:uiPriority w:val="99"/>
    <w:rPr>
      <w:rFonts w:ascii="Times New Roman" w:hAnsi="Times New Roman" w:eastAsia="宋体" w:cs="Times New Roman"/>
      <w:sz w:val="24"/>
      <w:szCs w:val="24"/>
    </w:rPr>
  </w:style>
  <w:style w:type="character" w:customStyle="1" w:styleId="17">
    <w:name w:val="批注主题 字符"/>
    <w:link w:val="7"/>
    <w:semiHidden/>
    <w:qFormat/>
    <w:locked/>
    <w:uiPriority w:val="99"/>
    <w:rPr>
      <w:rFonts w:ascii="Times New Roman" w:hAnsi="Times New Roman" w:eastAsia="宋体" w:cs="Times New Roman"/>
      <w:b/>
      <w:bCs/>
      <w:sz w:val="24"/>
      <w:szCs w:val="24"/>
    </w:rPr>
  </w:style>
  <w:style w:type="character" w:customStyle="1" w:styleId="18">
    <w:name w:val="批注框文本 字符"/>
    <w:link w:val="4"/>
    <w:semiHidden/>
    <w:qFormat/>
    <w:locked/>
    <w:uiPriority w:val="99"/>
    <w:rPr>
      <w:rFonts w:ascii="Times New Roman" w:hAnsi="Times New Roman" w:eastAsia="宋体" w:cs="Times New Roman"/>
      <w:sz w:val="18"/>
      <w:szCs w:val="18"/>
    </w:rPr>
  </w:style>
  <w:style w:type="character" w:customStyle="1" w:styleId="19">
    <w:name w:val="日期 字符"/>
    <w:link w:val="3"/>
    <w:semiHidden/>
    <w:qFormat/>
    <w:locked/>
    <w:uiPriority w:val="99"/>
    <w:rPr>
      <w:rFonts w:ascii="Times New Roman" w:hAnsi="Times New Roman" w:eastAsia="宋体" w:cs="Times New Roman"/>
      <w:sz w:val="24"/>
      <w:szCs w:val="24"/>
    </w:rPr>
  </w:style>
  <w:style w:type="character" w:customStyle="1" w:styleId="20">
    <w:name w:val="未处理的提及1"/>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89DF0D-8744-4000-9CAB-58669418D5B7}">
  <ds:schemaRefs/>
</ds:datastoreItem>
</file>

<file path=docProps/app.xml><?xml version="1.0" encoding="utf-8"?>
<Properties xmlns="http://schemas.openxmlformats.org/officeDocument/2006/extended-properties" xmlns:vt="http://schemas.openxmlformats.org/officeDocument/2006/docPropsVTypes">
  <Template>Normal</Template>
  <Pages>20</Pages>
  <Words>1269</Words>
  <Characters>7234</Characters>
  <Lines>60</Lines>
  <Paragraphs>16</Paragraphs>
  <TotalTime>30</TotalTime>
  <ScaleCrop>false</ScaleCrop>
  <LinksUpToDate>false</LinksUpToDate>
  <CharactersWithSpaces>8487</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2019-08-05T07:07:00Z</dcterms:created>
  <dc:creator>Administrator</dc:creator>
  <cp:lastModifiedBy>咔儿的生活</cp:lastModifiedBy>
  <cp:lastPrinted>2023-09-06T07:22:00Z</cp:lastPrinted>
  <dcterms:modified xsi:type="dcterms:W3CDTF">2023-09-06T08:23:22Z</dcterms:modified>
  <cp:revision>339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3CF1BF07D17B47DBA874C8865AD74E1E</vt:lpwstr>
  </property>
</Properties>
</file>